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cx="http://schemas.microsoft.com/office/drawing/2014/chartex" xmlns:cx1="http://schemas.microsoft.com/office/drawing/2015/9/8/chartex"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苏拓普评估字(2023)吴江第10005号</w:t>
      </w:r>
    </w:p>
    <w:p>
      <w:pPr>
        <w:pStyle w:val="PlainText"/>
        <w:spacing w:line="480" w:lineRule="auto"/>
        <w:ind w:left="2110" w:leftChars="71" w:hanging="1968"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苏州市吴江区震泽镇</w:t>
      </w:r>
      <w:r>
        <w:rPr>
          <w:rFonts w:ascii="宋体" w:hAnsi="宋体" w:eastAsia="宋体" w:asciiTheme="minorEastAsia" w:hAnsiTheme="minorEastAsia" w:eastAsiaTheme="minorEastAsia"/>
          <w:sz w:val="24"/>
          <w:szCs w:val="24"/>
        </w:rPr>
        <w:t xml:space="preserve">小带新村</w:t>
      </w:r>
      <w:r>
        <w:rPr>
          <w:rFonts w:ascii="宋体" w:hAnsi="宋体" w:eastAsia="宋体" w:asciiTheme="minorEastAsia" w:hAnsiTheme="minorEastAsia" w:eastAsiaTheme="minorEastAsia"/>
          <w:sz w:val="24"/>
          <w:szCs w:val="24"/>
        </w:rPr>
        <w:t xml:space="preserve">普通多层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91" w:leftChars="71" w:right="600" w:rightChars="300" w:hanging="2249"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7" w:leftChars="71" w:right="600" w:rightChars="300" w:hanging="1965"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国家注册房地产估价师：顾燕芬</w:t>
      </w:r>
      <w:r>
        <w:rPr>
          <w:rFonts w:hint="eastAsia" w:ascii="宋体" w:hAnsi="宋体"/>
          <w:sz w:val="24"/>
          <w:szCs w:val="24"/>
        </w:rPr>
        <w:t xml:space="preserve">、注册证号：</w:t>
      </w:r>
      <w:r>
        <w:rPr>
          <w:rFonts w:ascii="宋体" w:hAnsi="宋体"/>
          <w:sz w:val="24"/>
          <w:szCs w:val="24"/>
        </w:rPr>
        <w:t xml:space="preserve">3220180074</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国家注册房地产估价师：钟原</w:t>
      </w:r>
      <w:r>
        <w:rPr>
          <w:rFonts w:hint="eastAsia" w:ascii="宋体" w:hAnsi="宋体"/>
          <w:sz w:val="24"/>
          <w:szCs w:val="24"/>
        </w:rPr>
        <w:t xml:space="preserve">、注册证号：</w:t>
      </w:r>
      <w:r>
        <w:rPr>
          <w:rFonts w:ascii="宋体" w:hAnsi="宋体"/>
          <w:sz w:val="24"/>
          <w:szCs w:val="24"/>
        </w:rPr>
        <w:t xml:space="preserve">3220150055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2023年11月20日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rPr/>
      </w:pPr>
    </w:p>
    <w:p>
      <w:pPr>
        <w:jc w:val="center"/>
        <w:rPr>
          <w:rFonts w:eastAsia="黑体"/>
          <w:b/>
          <w:sz w:val="48"/>
        </w:rPr>
      </w:pPr>
      <w:r>
        <w:br w:type="page"/>
      </w:r>
      <w:r>
        <w:rPr>
          <w:rFonts w:hint="eastAsia" w:eastAsia="黑体"/>
          <w:b/>
          <w:sz w:val="48"/>
        </w:rPr>
        <w:t xml:space="preserve">目</w:t>
      </w:r>
      <w:r>
        <w:rPr>
          <w:rFonts w:hint="eastAsia" w:eastAsia="黑体"/>
          <w:b/>
          <w:sz w:val="48"/>
        </w:rPr>
        <w:t xml:space="preserve">    </w:t>
      </w:r>
      <w:r>
        <w:rPr>
          <w:rFonts w:hint="eastAsia" w:eastAsia="黑体"/>
          <w:b/>
          <w:sz w:val="48"/>
        </w:rPr>
        <w:t xml:space="preserve">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6"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sectPr>
      </w:pPr>
      <w:r>
        <w:br w:type="page"/>
      </w:r>
    </w:p>
    <w:p>
      <w:pPr>
        <w:pStyle w:val="Heading1"/>
        <w:jc w:val="center"/>
        <w:rPr>
          <w:rFonts w:eastAsia="黑体"/>
        </w:rPr>
      </w:pPr>
      <w:bookmarkStart w:name="_Toc532675902" w:id="0"/>
      <w:bookmarkStart w:name="_Toc32222390"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估价对象位于苏州市吴江区区域范围内的小带新村</w:t>
      </w:r>
      <w:r>
        <w:rPr>
          <w:rFonts w:hint="eastAsia" w:ascii="宋体"/>
          <w:sz w:val="24"/>
        </w:rPr>
        <w:t xml:space="preserve">住宅小区普通多层存量房。该小区内的物业类型包括：</w:t>
      </w:r>
      <w:r>
        <w:rPr>
          <w:rFonts w:ascii="宋体"/>
          <w:sz w:val="24"/>
        </w:rPr>
        <w:t xml:space="preserve">普通多层</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月修订版），结合估价人员现场查勘，选取小带新村</w:t>
      </w:r>
      <w:r>
        <w:rPr>
          <w:rFonts w:ascii="宋体"/>
          <w:sz w:val="24"/>
        </w:rPr>
        <w:t xml:space="preserve">4幢102室</w:t>
      </w:r>
      <w:r>
        <w:rPr>
          <w:rFonts w:hint="eastAsia" w:ascii="宋体"/>
          <w:sz w:val="24"/>
        </w:rPr>
        <w:t xml:space="preserve">为该小区</w:t>
      </w:r>
      <w:r>
        <w:rPr>
          <w:rFonts w:ascii="宋体"/>
          <w:sz w:val="24"/>
        </w:rPr>
        <w:t xml:space="preserve">砖混结构</w:t>
      </w:r>
      <w:r>
        <w:rPr>
          <w:rFonts w:hint="eastAsia" w:ascii="宋体"/>
          <w:sz w:val="24"/>
        </w:rPr>
        <w:t xml:space="preserve">普通多层的标准样本房，所在楼层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4</w:t>
      </w:r>
      <w:r>
        <w:rPr>
          <w:rFonts w:hint="eastAsia" w:ascii="宋体"/>
          <w:sz w:val="24"/>
        </w:rPr>
        <w:t xml:space="preserve">层，建筑面积</w:t>
      </w:r>
      <w:r>
        <w:rPr>
          <w:rFonts w:ascii="宋体"/>
          <w:sz w:val="24"/>
        </w:rPr>
        <w:t xml:space="preserve">68.52</w:t>
      </w:r>
      <w:r>
        <w:rPr>
          <w:rFonts w:hint="eastAsia" w:ascii="宋体"/>
          <w:sz w:val="24"/>
        </w:rPr>
        <w:t xml:space="preserve">平方米，南北朝向，</w:t>
      </w:r>
      <w:r>
        <w:rPr>
          <w:rFonts w:ascii="宋体"/>
          <w:sz w:val="24"/>
        </w:rPr>
        <w:t xml:space="preserve">中间户</w:t>
      </w:r>
      <w:r>
        <w:rPr>
          <w:rFonts w:ascii="宋体"/>
          <w:sz w:val="24"/>
        </w:rPr>
        <w:t xml:space="preserve">，砖混结构</w:t>
      </w:r>
      <w:r>
        <w:rPr>
          <w:rFonts w:hint="eastAsia" w:ascii="宋体"/>
          <w:sz w:val="24"/>
        </w:rPr>
        <w:t xml:space="preserve">，设计用途为成套住宅，建成于</w:t>
      </w:r>
      <w:r>
        <w:rPr>
          <w:rFonts w:ascii="宋体"/>
          <w:sz w:val="24"/>
        </w:rPr>
        <w:t xml:space="preserve">1998</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1999年09月09日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2023年11月05日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2023年11月05日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肆仟叁佰叁拾壹元整</w:t>
      </w:r>
      <w:r>
        <w:rPr>
          <w:rFonts w:hint="eastAsia" w:ascii="宋体" w:hAnsi="宋体"/>
          <w:b/>
          <w:bCs/>
          <w:sz w:val="24"/>
        </w:rPr>
        <w:t xml:space="preserve">（RMB</w:t>
      </w:r>
      <w:r>
        <w:rPr>
          <w:rFonts w:ascii="宋体" w:hAnsi="宋体"/>
          <w:b/>
          <w:bCs/>
          <w:sz w:val="24"/>
        </w:rPr>
        <w:t xml:space="preserve"> 4331</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2023年11月20日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noProof/>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2023年11月20日</w:t>
      </w:r>
    </w:p>
    <w:p>
      <w:pPr>
        <w:rPr/>
      </w:pPr>
      <w:r>
        <w:rPr>
          <w:noProof/>
        </w:rP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w:t>
      </w:r>
      <w:r>
        <w:rPr>
          <w:rFonts w:hint="eastAsia" w:ascii="楷体_GB2312" w:eastAsia="黑体"/>
        </w:rPr>
        <w:t xml:space="preserve"> </w:t>
      </w:r>
      <w:r>
        <w:rPr>
          <w:rFonts w:hint="eastAsia" w:ascii="楷体_GB2312" w:eastAsia="黑体"/>
        </w:rPr>
        <w:t xml:space="preserve">价</w:t>
      </w:r>
      <w:r>
        <w:rPr>
          <w:rFonts w:hint="eastAsia" w:ascii="楷体_GB2312" w:eastAsia="黑体"/>
        </w:rPr>
        <w:t xml:space="preserve"> </w:t>
      </w:r>
      <w:r>
        <w:rPr>
          <w:rFonts w:hint="eastAsia" w:ascii="楷体_GB2312" w:eastAsia="黑体"/>
        </w:rPr>
        <w:t xml:space="preserve">师</w:t>
      </w:r>
      <w:r>
        <w:rPr>
          <w:rFonts w:hint="eastAsia" w:ascii="楷体_GB2312" w:eastAsia="黑体"/>
        </w:rPr>
        <w:t xml:space="preserve"> </w:t>
      </w:r>
      <w:r>
        <w:rPr>
          <w:rFonts w:hint="eastAsia" w:ascii="楷体_GB2312" w:eastAsia="黑体"/>
        </w:rPr>
        <w:t xml:space="preserve">声</w:t>
      </w:r>
      <w:r>
        <w:rPr>
          <w:rFonts w:hint="eastAsia" w:ascii="楷体_GB2312" w:eastAsia="黑体"/>
        </w:rPr>
        <w:t xml:space="preserve"> </w:t>
      </w:r>
      <w:r>
        <w:rPr>
          <w:rFonts w:hint="eastAsia" w:ascii="楷体_GB2312" w:eastAsia="黑体"/>
        </w:rPr>
        <w:t xml:space="preserve">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2023年11月20日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2023年11月20日</w:t>
            </w:r>
          </w:p>
        </w:tc>
      </w:tr>
    </w:tbl>
    <w:p>
      <w:pPr>
        <w:pStyle w:val="Heading1"/>
        <w:jc w:val="center"/>
        <w:rPr>
          <w:rFonts w:eastAsia="黑体"/>
          <w:bCs w:val="0"/>
        </w:rPr>
      </w:pPr>
      <w:bookmarkStart w:name="_Toc532675904" w:id="4"/>
      <w:bookmarkStart w:name="_Toc32222392"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clear" w:pos="1358"/>
          <w:tab w:val="left" w:pos="900"/>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5.本报告作为整体使用时有效。若房地产市场无重大波动，本估价报告自出具日起一年内有效，从2023年11月20日</w:t>
      </w:r>
      <w:r>
        <w:rPr>
          <w:rFonts w:hint="eastAsia" w:ascii="宋体" w:hAnsi="宋体"/>
          <w:sz w:val="24"/>
        </w:rPr>
        <w:t xml:space="preserve">至</w:t>
      </w:r>
      <w:r>
        <w:rPr>
          <w:rFonts w:ascii="宋体" w:hAnsi="宋体"/>
          <w:sz w:val="24"/>
        </w:rPr>
        <w:t xml:space="preserve">2024年11月19日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w:t>
      </w:r>
      <w:r>
        <w:rPr>
          <w:rFonts w:hint="eastAsia" w:ascii="楷体_GB2312" w:eastAsia="黑体"/>
          <w:sz w:val="24"/>
        </w:rPr>
        <w:t xml:space="preserve">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w:t>
      </w:r>
      <w:r>
        <w:rPr>
          <w:rFonts w:hint="eastAsia" w:hAnsi="宋体"/>
          <w:sz w:val="24"/>
        </w:rPr>
        <w:t xml:space="preserve">小带新村</w:t>
      </w:r>
      <w:r>
        <w:rPr>
          <w:rFonts w:ascii="宋体" w:hAnsi="宋体"/>
          <w:sz w:val="24"/>
        </w:rPr>
        <w:t xml:space="preserve">4幢102室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耶稣老教堂西侧</w:t>
      </w:r>
      <w:r>
        <w:rPr>
          <w:rFonts w:hint="eastAsia" w:hAnsi="宋体"/>
          <w:sz w:val="24"/>
        </w:rPr>
        <w:t xml:space="preserve">的“</w:t>
      </w:r>
      <w:r>
        <w:rPr>
          <w:rFonts w:hint="eastAsia" w:hAnsi="宋体"/>
          <w:sz w:val="24"/>
        </w:rPr>
        <w:t xml:space="preserve">小带新村</w:t>
      </w:r>
      <w:r>
        <w:rPr>
          <w:rFonts w:hint="eastAsia" w:hAnsi="宋体"/>
          <w:sz w:val="24"/>
        </w:rPr>
        <w:t xml:space="preserve">”住宅区内。</w:t>
      </w:r>
      <w:r>
        <w:rPr>
          <w:rFonts w:hint="eastAsia" w:ascii="宋体" w:hAnsi="宋体"/>
          <w:sz w:val="24"/>
        </w:rPr>
        <w:t xml:space="preserve">估价对象东至</w:t>
      </w:r>
      <w:r>
        <w:rPr>
          <w:rFonts w:ascii="宋体" w:hAnsi="宋体"/>
          <w:sz w:val="24"/>
          <w:szCs w:val="24"/>
        </w:rPr>
        <w:t xml:space="preserve">耶稣老教堂</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梅杨路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震泽初级中学</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頔塘河</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w:t>
      </w:r>
      <w:r>
        <w:rPr>
          <w:rFonts w:hint="eastAsia" w:ascii="楷体_GB2312" w:eastAsia="黑体"/>
          <w:sz w:val="24"/>
        </w:rPr>
        <w:t xml:space="preserve">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w:t>
      </w:r>
      <w:r>
        <w:rPr>
          <w:rFonts w:hint="eastAsia" w:ascii="楷体_GB2312" w:eastAsia="黑体"/>
          <w:sz w:val="24"/>
        </w:rPr>
        <w:t xml:space="preserve">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68.52</w:t>
      </w:r>
      <w:r>
        <w:rPr>
          <w:rFonts w:hint="eastAsia" w:hAnsi="宋体"/>
          <w:sz w:val="24"/>
        </w:rPr>
        <w:t xml:space="preserve">㎡。</w:t>
      </w:r>
    </w:p>
    <w:p>
      <w:pPr>
        <w:spacing w:line="480" w:lineRule="exact"/>
        <w:ind w:firstLine="425"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w:t>
      </w:r>
      <w:r>
        <w:rPr>
          <w:rFonts w:hint="eastAsia" w:hAnsi="宋体"/>
          <w:sz w:val="24"/>
          <w:szCs w:val="24"/>
        </w:rPr>
        <w:t xml:space="preserve">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耶稣老教堂西侧</w:t>
      </w:r>
      <w:r>
        <w:rPr>
          <w:rFonts w:hint="eastAsia" w:hAnsi="宋体"/>
          <w:sz w:val="24"/>
        </w:rPr>
        <w:t xml:space="preserve">的“小带新村</w:t>
      </w:r>
      <w:r>
        <w:rPr>
          <w:rFonts w:hint="eastAsia" w:hAnsi="宋体"/>
          <w:sz w:val="24"/>
        </w:rPr>
        <w:t xml:space="preserve">”住宅区内。该小区内的物业类型包括：</w:t>
      </w:r>
      <w:r>
        <w:rPr>
          <w:rFonts w:hAnsi="宋体"/>
          <w:sz w:val="24"/>
        </w:rPr>
        <w:t xml:space="preserve">普通多层</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5277"/>
        <w:gridCol w:w="3602"/>
      </w:tblGrid>
      <w:tr>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rP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rP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小带新村</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rPr/>
            </w:pPr>
          </w:p>
        </w:tc>
        <w:tc>
          <w:tcPr>
            <w:tcW w:w="3602" w:type="dxa"/>
            <w:vAlign w:val="center"/>
          </w:tcPr>
          <w:p>
            <w:pPr>
              <w:keepNext/>
              <w:spacing w:line="360" w:lineRule="auto"/>
              <w:jc w:val="center"/>
              <w:rP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w:t>
            </w:r>
            <w:r>
              <w:rPr>
                <w:rFonts w:hint="eastAsia" w:ascii="Cambria" w:hAnsi="宋体" w:eastAsia="黑体" w:cs="Times New Roman" w:asciiTheme="majorHAnsi" w:cstheme="majorBidi"/>
                <w:sz w:val="15"/>
                <w:szCs w:val="15"/>
              </w:rPr>
              <w:t xml:space="preserve">小带新村</w:t>
            </w:r>
            <w:r>
              <w:rPr>
                <w:rFonts w:hint="eastAsia" w:ascii="Cambria" w:hAnsi="宋体" w:eastAsia="黑体" w:cs="Times New Roman" w:asciiTheme="majorHAnsi" w:cstheme="majorBidi"/>
                <w:sz w:val="15"/>
                <w:szCs w:val="15"/>
              </w:rPr>
              <w:t xml:space="preserve">”小区</w:t>
            </w:r>
            <w:r>
              <w:rPr>
                <w:rFonts w:ascii="Cambria" w:hAnsi="宋体" w:eastAsia="黑体" w:cs="Times New Roman" w:asciiTheme="majorHAnsi" w:cstheme="majorBidi"/>
                <w:sz w:val="15"/>
                <w:szCs w:val="15"/>
              </w:rPr>
              <w:t xml:space="preserve">4幢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由于小带新村幢数较少，市场交易不活跃，片区内可选案例较少，因此选择的案例B，C，D，距离在3公里以外。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p>
    <w:p>
      <w:pPr>
        <w:widowControl w:val="0"/>
        <w:spacing w:line="500" w:lineRule="exact"/>
        <w:ind w:firstLine="480" w:firstLineChars="200"/>
        <w:jc w:val="both"/>
        <w:rPr>
          <w:rFonts w:ascii="宋体" w:hAnsi="宋体"/>
          <w:kern w:val="2"/>
          <w:sz w:val="24"/>
        </w:rPr>
      </w:pPr>
    </w:p>
    <w:p>
      <w:pPr>
        <w:pStyle w:val="PlainText"/>
        <w:spacing w:line="540" w:lineRule="atLeast"/>
        <w:jc w:val="center"/>
        <w:rP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rPr/>
      </w:pPr>
      <w:r>
        <w:rPr>
          <w:rFonts w:hint="eastAsia" w:hAnsi="宋体"/>
          <w:sz w:val="24"/>
        </w:rPr>
        <w:t xml:space="preserve">由于小带新村幢数较少且大多为别墅，市场交易不活跃，各大网站均无法获取其交易信息。</w:t>
      </w: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该房屋为4</w:t>
      </w:r>
      <w:r>
        <w:rPr>
          <w:rFonts w:hint="eastAsia" w:ascii="宋体" w:hAnsi="宋体"/>
          <w:sz w:val="24"/>
        </w:rPr>
        <w:t xml:space="preserve">层住宅楼的第1层，建于1998年，</w:t>
      </w:r>
      <w:r>
        <w:rPr>
          <w:rFonts w:ascii="宋体" w:hAnsi="宋体"/>
          <w:sz w:val="24"/>
        </w:rPr>
        <w:t xml:space="preserve">砖混结构</w:t>
      </w:r>
      <w:r>
        <w:rPr>
          <w:rFonts w:hint="eastAsia" w:ascii="宋体" w:hAnsi="宋体"/>
          <w:sz w:val="24"/>
        </w:rPr>
        <w:t xml:space="preserve">，南北朝向，建筑面积为</w:t>
      </w:r>
      <w:r>
        <w:rPr>
          <w:rFonts w:ascii="宋体" w:hAnsi="宋体"/>
          <w:sz w:val="24"/>
        </w:rPr>
        <w:t xml:space="preserve">68.52</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1999年09月09日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2023年11月05日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clear" w:pos="420"/>
          <w:tab w:val="left" w:pos="80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5"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1.5《中华人民共和国城镇国有土地使用权出让和转让暂行条例》；</w:t>
      </w:r>
    </w:p>
    <w:p>
      <w:pPr>
        <w:widowControl w:val="0"/>
        <w:spacing w:line="440" w:lineRule="exact"/>
        <w:ind w:firstLine="480" w:firstLineChars="200"/>
        <w:jc w:val="both"/>
        <w:rPr>
          <w:rFonts w:ascii="宋体"/>
          <w:sz w:val="24"/>
        </w:rPr>
      </w:pPr>
      <w:r>
        <w:rPr>
          <w:rFonts w:hint="eastAsia" w:ascii="宋体"/>
          <w:sz w:val="24"/>
        </w:rPr>
        <w:t xml:space="preserve">1.6《中华人民共和国契税法》；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5"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w:t>
      </w:r>
      <w:r>
        <w:rPr>
          <w:rFonts w:hint="eastAsia"/>
          <w:i/>
          <w:sz w:val="24"/>
          <w:szCs w:val="24"/>
          <w:vertAlign w:val="subscript"/>
        </w:rPr>
        <w:t xml:space="preserve"> </w:t>
      </w:r>
      <w:r>
        <w:rPr>
          <w:rFonts w:hint="eastAsia" w:ascii="华文中宋" w:hAnsi="华文中宋" w:eastAsia="华文中宋" w:cs="宋体"/>
          <w:sz w:val="24"/>
        </w:rPr>
        <w:t xml:space="preserve">（元/平方米）</w:t>
      </w:r>
    </w:p>
    <w:p>
      <w:pPr>
        <w:spacing w:line="360" w:lineRule="auto"/>
        <w:ind w:firstLine="425"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w:t>
      </w:r>
      <w:r>
        <w:rPr>
          <w:rFonts w:hint="eastAsia" w:cs="宋体"/>
          <w:sz w:val="18"/>
          <w:szCs w:val="18"/>
        </w:rPr>
        <w:t xml:space="preserve">可比实例的正常市场成交价格；</w:t>
      </w:r>
    </w:p>
    <w:p>
      <w:pPr>
        <w:spacing w:line="360" w:lineRule="auto"/>
        <w:ind w:firstLine="425"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w:t>
      </w:r>
      <w:r>
        <w:rPr>
          <w:rFonts w:hint="eastAsia" w:cs="宋体"/>
          <w:sz w:val="18"/>
          <w:szCs w:val="18"/>
        </w:rPr>
        <w:t xml:space="preserve">1</w:t>
      </w:r>
      <w:r>
        <w:rPr>
          <w:rFonts w:hint="eastAsia" w:cs="宋体"/>
          <w:sz w:val="18"/>
          <w:szCs w:val="18"/>
        </w:rPr>
        <w:t xml:space="preserve">；</w:t>
      </w:r>
    </w:p>
    <w:p>
      <w:pPr>
        <w:spacing w:line="360" w:lineRule="auto"/>
        <w:ind w:firstLine="425"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w:t>
      </w:r>
      <w:r>
        <w:rPr>
          <w:rFonts w:hint="eastAsia"/>
          <w:sz w:val="18"/>
          <w:szCs w:val="18"/>
        </w:rPr>
        <w:t xml:space="preserve"> </w:t>
      </w:r>
    </w:p>
    <w:p>
      <w:pPr>
        <w:spacing w:line="360" w:lineRule="auto"/>
        <w:ind w:firstLine="425"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w:t>
      </w:r>
      <w:r>
        <w:rPr>
          <w:rFonts w:hint="eastAsia" w:cs="宋体"/>
          <w:sz w:val="18"/>
          <w:szCs w:val="18"/>
        </w:rPr>
        <w:t xml:space="preserve">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w:t>
      </w:r>
      <w:r>
        <w:rPr>
          <w:rFonts w:hint="eastAsia"/>
          <w:szCs w:val="21"/>
        </w:rPr>
        <w:t xml:space="preserve">*</w:t>
      </w:r>
      <w:r>
        <w:rPr>
          <w:rFonts w:hint="eastAsia"/>
          <w:szCs w:val="21"/>
        </w:rPr>
        <w:t xml:space="preserve">装修成新率【</w:t>
      </w:r>
      <w:r>
        <w:rPr>
          <w:rFonts w:hint="eastAsia"/>
          <w:szCs w:val="21"/>
        </w:rPr>
        <w:t xml:space="preserve">1</w:t>
      </w:r>
      <w:r>
        <w:rPr>
          <w:rFonts w:hint="eastAsia"/>
          <w:szCs w:val="21"/>
        </w:rPr>
        <w:t xml:space="preserve">—</w:t>
      </w:r>
      <w:r>
        <w:rPr>
          <w:rFonts w:hint="eastAsia"/>
          <w:szCs w:val="21"/>
        </w:rPr>
        <w:t xml:space="preserve">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5"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A</w:t>
      </w:r>
      <w:r>
        <w:rPr>
          <w:rFonts w:hint="eastAsia" w:ascii="宋体" w:hAnsi="宋体" w:cs="宋体"/>
          <w:sz w:val="18"/>
          <w:szCs w:val="18"/>
        </w:rPr>
        <w:t xml:space="preserve">。</w:t>
      </w:r>
    </w:p>
    <w:p>
      <w:pPr>
        <w:spacing w:line="360" w:lineRule="auto"/>
        <w:ind w:firstLine="425" w:firstLineChars="236"/>
        <w:rPr>
          <w:sz w:val="18"/>
          <w:szCs w:val="18"/>
        </w:rPr>
      </w:pPr>
      <w:r>
        <w:rPr>
          <w:rFonts w:hint="eastAsia"/>
          <w:sz w:val="18"/>
          <w:szCs w:val="18"/>
        </w:rPr>
        <w:t xml:space="preserve">注：住宅的装修耐用年限一般设定为</w:t>
      </w:r>
      <w:r>
        <w:rPr>
          <w:rFonts w:hint="eastAsia"/>
          <w:sz w:val="18"/>
          <w:szCs w:val="18"/>
        </w:rPr>
        <w:t xml:space="preserve">5-8</w:t>
      </w:r>
      <w:r>
        <w:rPr>
          <w:rFonts w:hint="eastAsia"/>
          <w:sz w:val="18"/>
          <w:szCs w:val="18"/>
        </w:rPr>
        <w:t xml:space="preserve">年，计算时统一设定为</w:t>
      </w:r>
      <w:r>
        <w:rPr>
          <w:rFonts w:hint="eastAsia"/>
          <w:sz w:val="18"/>
          <w:szCs w:val="18"/>
        </w:rPr>
        <w:t xml:space="preserve">8</w:t>
      </w:r>
      <w:r>
        <w:rPr>
          <w:rFonts w:hint="eastAsia"/>
          <w:sz w:val="18"/>
          <w:szCs w:val="18"/>
        </w:rPr>
        <w:t xml:space="preserve">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w:t>
      </w:r>
      <w:r>
        <w:rPr>
          <w:sz w:val="24"/>
          <w:szCs w:val="24"/>
        </w:rPr>
        <w:t xml:space="preserve">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5"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B</w:t>
      </w:r>
      <w:r>
        <w:rPr>
          <w:rFonts w:hint="eastAsia" w:cs="宋体"/>
          <w:sz w:val="18"/>
          <w:szCs w:val="18"/>
        </w:rPr>
        <w:t xml:space="preserve">，包括车库、阁楼、储藏室计价系数，</w:t>
      </w:r>
      <w:r>
        <w:rPr>
          <w:rFonts w:hint="eastAsia" w:ascii="宋体" w:hAnsi="宋体" w:cs="宋体"/>
          <w:sz w:val="18"/>
          <w:szCs w:val="18"/>
        </w:rPr>
        <w:t xml:space="preserve">用来计算扣除附属物价格。</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5"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w:t>
      </w:r>
      <w:r>
        <w:rPr>
          <w:rFonts w:hint="eastAsia" w:ascii="宋体" w:hAnsi="宋体"/>
          <w:sz w:val="24"/>
        </w:rPr>
        <w:t xml:space="preserve">象于价值时点的市场参考价为</w:t>
      </w:r>
      <w:r>
        <w:rPr>
          <w:rFonts w:hint="eastAsia" w:ascii="宋体" w:hAnsi="宋体"/>
          <w:b/>
          <w:bCs/>
          <w:sz w:val="24"/>
        </w:rPr>
        <w:t xml:space="preserve">人民币单价：每平方米</w:t>
      </w:r>
      <w:r>
        <w:rPr>
          <w:rFonts w:ascii="宋体" w:hAnsi="宋体"/>
          <w:b/>
          <w:bCs/>
          <w:sz w:val="24"/>
        </w:rPr>
        <w:t xml:space="preserve">肆仟叁佰叁拾壹元整</w:t>
      </w:r>
      <w:r>
        <w:rPr>
          <w:rFonts w:hint="eastAsia" w:ascii="宋体" w:hAnsi="宋体"/>
          <w:b/>
          <w:bCs/>
          <w:sz w:val="24"/>
        </w:rPr>
        <w:t xml:space="preserve">（RMB </w:t>
      </w:r>
      <w:r>
        <w:rPr>
          <w:rFonts w:ascii="宋体" w:hAnsi="宋体"/>
          <w:b/>
          <w:bCs/>
          <w:sz w:val="24"/>
        </w:rPr>
        <w:t xml:space="preserve">4331</w:t>
      </w:r>
      <w:r>
        <w:rPr>
          <w:rFonts w:hint="eastAsia" w:ascii="宋体" w:hAnsi="宋体"/>
          <w:b/>
          <w:bCs/>
          <w:sz w:val="24"/>
        </w:rPr>
        <w:t xml:space="preserve">元/平方米）。</w:t>
      </w:r>
    </w:p>
    <w:tbl>
      <w:tblPr>
        <w:tblStyle w:val="NormalTable"/>
        <w:tblW w:w="8522" w:type="dxa"/>
        <w:jc w:val="center"/>
        <w:tblLayout w:type="fixed"/>
        <w:tblLook w:val="04A0" w:firstRow="1" w:lastRow="0" w:firstColumn="1" w:lastColumn="0" w:noHBand="0" w:noVBand="1"/>
      </w:tblPr>
      <w:tblGrid>
        <w:gridCol w:w="2152"/>
        <w:gridCol w:w="2153"/>
        <w:gridCol w:w="4217"/>
      </w:tblGrid>
      <w:tr>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29.67</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4331</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2023年11月20日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2023年11月20日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本次实地查勘期为2023年11月05日，并于当日完成现场查勘。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2023年11月05日</w:t>
      </w:r>
      <w:r>
        <w:rPr>
          <w:rFonts w:hint="eastAsia" w:ascii="宋体"/>
          <w:sz w:val="24"/>
        </w:rPr>
        <w:t xml:space="preserve">至2023年11月20日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w:t>
      </w:r>
      <w:r>
        <w:rPr>
          <w:rFonts w:hint="eastAsia" w:hAnsi="宋体"/>
          <w:sz w:val="24"/>
        </w:rPr>
        <w:t xml:space="preserve">小带新村</w:t>
      </w:r>
      <w:r>
        <w:rPr>
          <w:rFonts w:hint="eastAsia" w:hAnsi="宋体"/>
          <w:sz w:val="24"/>
        </w:rPr>
        <w:t xml:space="preserve">”住宅区内的</w:t>
      </w:r>
      <w:r>
        <w:rPr>
          <w:rFonts w:hAnsi="宋体"/>
          <w:sz w:val="24"/>
        </w:rPr>
        <w:t xml:space="preserve">普通多层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梅杨路北侧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梅杨路北侧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附近有761路、765路等多条公交线路</w:t>
      </w:r>
      <w:r>
        <w:rPr>
          <w:rFonts w:hint="eastAsia" w:hAnsi="宋体"/>
          <w:sz w:val="24"/>
        </w:rPr>
        <w:t xml:space="preserve">，</w:t>
      </w:r>
      <w:r>
        <w:rPr>
          <w:rFonts w:hAnsi="宋体"/>
          <w:sz w:val="24"/>
        </w:rPr>
        <w:t xml:space="preserve">至公交站点的距离约为100米，公交班次平均隔10分钟有一辆汽车通过。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5"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估价对象所在区域居民受教育程度一般；治安状况较优；人文环境一般。</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联华超市（震泽店）</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吴江农商行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震泽农贸市场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震泽中心幼儿园</w:t>
      </w:r>
      <w:r>
        <w:rPr>
          <w:rFonts w:hint="eastAsia" w:ascii="宋体" w:hAnsi="宋体" w:eastAsia="宋体" w:asciiTheme="minorEastAsia" w:hAnsiTheme="minorEastAsia" w:eastAsiaTheme="minorEastAsia"/>
          <w:sz w:val="24"/>
        </w:rPr>
        <w:t xml:space="preserve">、</w:t>
      </w:r>
      <w:r>
        <w:rPr>
          <w:rFonts w:hAnsi="宋体"/>
          <w:sz w:val="24"/>
        </w:rPr>
        <w:t xml:space="preserve">震泽实验小学</w:t>
      </w:r>
      <w:r>
        <w:rPr>
          <w:rFonts w:hint="eastAsia" w:hAnsi="宋体"/>
          <w:sz w:val="24"/>
        </w:rPr>
        <w:t xml:space="preserve">、</w:t>
      </w:r>
      <w:r>
        <w:rPr>
          <w:rFonts w:hAnsi="宋体"/>
          <w:sz w:val="24"/>
        </w:rPr>
        <w:t xml:space="preserve">震泽中学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5.1 区位状况优劣性分析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1999年09月09日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耶稣老教堂</w:t>
      </w:r>
      <w:r>
        <w:rPr>
          <w:rFonts w:hint="eastAsia" w:ascii="宋体" w:hAnsi="宋体"/>
          <w:sz w:val="24"/>
        </w:rPr>
        <w:t xml:space="preserve">，南至</w:t>
      </w:r>
      <w:r>
        <w:rPr>
          <w:rFonts w:ascii="宋体" w:hAnsi="宋体"/>
          <w:sz w:val="24"/>
        </w:rPr>
        <w:t xml:space="preserve">梅杨路</w:t>
      </w:r>
      <w:r>
        <w:rPr>
          <w:rFonts w:hint="eastAsia" w:ascii="宋体" w:hAnsi="宋体"/>
          <w:sz w:val="24"/>
        </w:rPr>
        <w:t xml:space="preserve">，西至</w:t>
      </w:r>
      <w:r>
        <w:rPr>
          <w:rFonts w:ascii="宋体" w:hAnsi="宋体"/>
          <w:sz w:val="24"/>
        </w:rPr>
        <w:t xml:space="preserve">震泽初级中学</w:t>
      </w:r>
      <w:r>
        <w:rPr>
          <w:rFonts w:hint="eastAsia" w:ascii="宋体" w:hAnsi="宋体"/>
          <w:sz w:val="24"/>
        </w:rPr>
        <w:t xml:space="preserve">，北至</w:t>
      </w:r>
      <w:r>
        <w:rPr>
          <w:rFonts w:ascii="宋体" w:hAnsi="宋体"/>
          <w:sz w:val="24"/>
        </w:rPr>
        <w:t xml:space="preserve">頔塘河</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w:t>
      </w:r>
      <w:r>
        <w:rPr>
          <w:rFonts w:hint="eastAsia" w:ascii="宋体" w:hAnsi="宋体" w:eastAsia="宋体" w:asciiTheme="minorEastAsia" w:hAnsiTheme="minorEastAsia" w:eastAsiaTheme="minorEastAsia"/>
          <w:sz w:val="24"/>
        </w:rPr>
        <w:t xml:space="preserve">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w:t>
      </w:r>
      <w:r>
        <w:rPr>
          <w:rFonts w:hint="eastAsia" w:hAnsi="宋体"/>
          <w:sz w:val="24"/>
        </w:rPr>
        <w:t xml:space="preserve">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估价对象为坐落于苏州市吴江区小带新村</w:t>
      </w:r>
      <w:r>
        <w:t xml:space="preserve"> </w:t>
      </w:r>
      <w:r>
        <w:rPr>
          <w:rFonts w:ascii="宋体" w:hAnsi="宋体"/>
          <w:kern w:val="2"/>
          <w:sz w:val="24"/>
        </w:rPr>
        <w:t xml:space="preserve">4幢102室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w:t>
      </w:r>
      <w:r>
        <w:rPr>
          <w:rFonts w:hint="eastAsia" w:hAnsi="宋体"/>
          <w:sz w:val="24"/>
        </w:rPr>
        <w:t xml:space="preserve">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w:t>
      </w:r>
      <w:r>
        <w:rPr>
          <w:rFonts w:hint="eastAsia" w:hAnsi="宋体"/>
          <w:sz w:val="24"/>
        </w:rPr>
        <w:t xml:space="preserve">普通多层</w:t>
      </w:r>
      <w:r>
        <w:rPr>
          <w:rFonts w:hint="eastAsia" w:hAnsi="宋体"/>
          <w:sz w:val="24"/>
        </w:rPr>
        <w:t xml:space="preserve">建筑，建筑面积为</w:t>
      </w:r>
      <w:r>
        <w:rPr>
          <w:rFonts w:hAnsi="宋体"/>
          <w:sz w:val="24"/>
        </w:rPr>
        <w:t xml:space="preserve">68.52</w:t>
      </w:r>
      <w:r>
        <w:rPr>
          <w:rFonts w:hint="eastAsia" w:hAnsi="宋体"/>
          <w:sz w:val="24"/>
        </w:rPr>
        <w:t xml:space="preserve">㎡，</w:t>
      </w:r>
      <w:r>
        <w:rPr>
          <w:rFonts w:hAnsi="宋体"/>
          <w:sz w:val="24"/>
        </w:rPr>
        <w:t xml:space="preserve">砖混结构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w:t>
      </w:r>
      <w:r>
        <w:rPr>
          <w:rFonts w:hint="eastAsia" w:hAnsi="宋体"/>
          <w:sz w:val="24"/>
        </w:rPr>
        <w:t xml:space="preserve">层数、层高：估价对象位于总楼层为</w:t>
      </w:r>
      <w:r>
        <w:rPr>
          <w:rFonts w:hint="eastAsia" w:hAnsi="宋体"/>
          <w:sz w:val="24"/>
        </w:rPr>
        <w:t xml:space="preserve">4</w:t>
      </w:r>
      <w:r>
        <w:rPr>
          <w:rFonts w:hint="eastAsia" w:hAnsi="宋体"/>
          <w:sz w:val="24"/>
        </w:rPr>
        <w:t xml:space="preserve">层的第</w:t>
      </w:r>
      <w:r>
        <w:rPr>
          <w:rFonts w:hint="eastAsia" w:hAnsi="宋体"/>
          <w:sz w:val="24"/>
        </w:rPr>
        <w:t xml:space="preserve">1</w:t>
      </w:r>
      <w:r>
        <w:rPr>
          <w:rFonts w:hint="eastAsia" w:hAnsi="宋体"/>
          <w:sz w:val="24"/>
        </w:rPr>
        <w:t xml:space="preserve">层，层高约</w:t>
      </w:r>
      <w:r>
        <w:rPr>
          <w:rFonts w:hint="eastAsia" w:hAnsi="宋体"/>
          <w:sz w:val="24"/>
        </w:rPr>
        <w:t xml:space="preserve">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w:t>
      </w:r>
      <w:r>
        <w:rPr>
          <w:rFonts w:hint="eastAsia" w:hAnsi="宋体"/>
          <w:sz w:val="24"/>
        </w:rPr>
        <w:t xml:space="preserve">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w:t>
      </w:r>
      <w:r>
        <w:rPr>
          <w:rFonts w:hint="eastAsia" w:hAnsi="宋体"/>
          <w:sz w:val="24"/>
        </w:rPr>
        <w:t xml:space="preserve">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w:t>
      </w:r>
      <w:r>
        <w:rPr>
          <w:rFonts w:hint="eastAsia" w:hAnsi="宋体"/>
          <w:sz w:val="24"/>
        </w:rPr>
        <w:t xml:space="preserve">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w:t>
      </w:r>
      <w:r>
        <w:rPr>
          <w:rFonts w:hint="eastAsia" w:hAnsi="宋体"/>
          <w:sz w:val="24"/>
        </w:rPr>
        <w:t xml:space="preserve">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w:t>
      </w:r>
      <w:r>
        <w:rPr>
          <w:rFonts w:hint="eastAsia" w:hAnsi="宋体"/>
          <w:sz w:val="24"/>
        </w:rPr>
        <w:t xml:space="preserve">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w:t>
      </w:r>
      <w:r>
        <w:rPr>
          <w:rFonts w:hint="eastAsia" w:hAnsi="宋体"/>
          <w:sz w:val="24"/>
        </w:rPr>
        <w:t xml:space="preserve">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w:t>
      </w:r>
      <w:r>
        <w:rPr>
          <w:rFonts w:hint="eastAsia" w:hAnsi="宋体"/>
          <w:sz w:val="24"/>
        </w:rPr>
        <w:t xml:space="preserve">防水：屋顶或楼板不漏水，外墙不渗雨；</w:t>
      </w:r>
    </w:p>
    <w:p>
      <w:pPr>
        <w:widowControl w:val="0"/>
        <w:tabs>
          <w:tab w:val="left" w:pos="2100"/>
        </w:tabs>
        <w:spacing w:line="500" w:lineRule="exact"/>
        <w:ind w:firstLine="482"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w:t>
      </w:r>
      <w:r>
        <w:rPr>
          <w:rFonts w:hint="eastAsia" w:hAnsi="宋体"/>
          <w:sz w:val="24"/>
        </w:rPr>
        <w:t xml:space="preserve">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两室一厅一卫</w:t>
      </w:r>
      <w:r>
        <w:rPr>
          <w:rFonts w:hint="eastAsia" w:hAnsi="宋体"/>
          <w:sz w:val="24"/>
        </w:rPr>
        <w:t xml:space="preserve">，</w:t>
      </w:r>
      <w:r>
        <w:rPr>
          <w:rFonts w:hAnsi="宋体"/>
          <w:sz w:val="24"/>
        </w:rPr>
        <w:t xml:space="preserve">一间朝南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w:t>
      </w:r>
      <w:r>
        <w:rPr>
          <w:rFonts w:hint="eastAsia" w:hAnsi="宋体"/>
          <w:sz w:val="24"/>
        </w:rPr>
        <w:t xml:space="preserve">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半封闭式物业管理，设有小区门卫，无保安巡逻</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w:t>
      </w:r>
      <w:r>
        <w:rPr>
          <w:rFonts w:hint="eastAsia" w:hAnsi="宋体"/>
          <w:sz w:val="24"/>
        </w:rPr>
        <w:t xml:space="preserve">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w:t>
      </w:r>
      <w:r>
        <w:rPr>
          <w:rFonts w:hint="eastAsia" w:hAnsi="宋体"/>
          <w:sz w:val="24"/>
        </w:rPr>
        <w:t xml:space="preserve">估价对象建成于</w:t>
      </w:r>
      <w:r>
        <w:rPr>
          <w:rFonts w:hint="eastAsia" w:hAnsi="宋体"/>
          <w:sz w:val="24"/>
        </w:rPr>
        <w:t xml:space="preserve">1998</w:t>
      </w:r>
      <w:r>
        <w:rPr>
          <w:rFonts w:hint="eastAsia" w:hAnsi="宋体"/>
          <w:sz w:val="24"/>
        </w:rPr>
        <w:t xml:space="preserve">年，基础较为稳固，未见沉降；墙面、地面、门</w:t>
      </w:r>
      <w:r>
        <w:rPr>
          <w:rFonts w:hint="eastAsia" w:hAnsi="宋体"/>
          <w:sz w:val="24"/>
        </w:rPr>
        <w:t xml:space="preserve">窗等保养完好，综合保养成新度为</w:t>
      </w:r>
      <w:r>
        <w:rPr>
          <w:rFonts w:hAnsi="宋体"/>
          <w:sz w:val="24"/>
        </w:rPr>
        <w:t xml:space="preserve">七成新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widowControl w:val="0"/>
        <w:snapToGrid w:val="0"/>
        <w:spacing w:line="480" w:lineRule="exact"/>
        <w:ind w:left="560"/>
        <w:jc w:val="both"/>
        <w:rPr>
          <w:rFonts w:ascii="宋体" w:hAnsi="宋体"/>
          <w:sz w:val="24"/>
          <w:szCs w:val="24"/>
        </w:rPr>
      </w:pPr>
      <w:r>
        <w:rPr>
          <w:rFonts w:ascii="宋体" w:hAnsi="宋体"/>
          <w:sz w:val="24"/>
          <w:szCs w:val="24"/>
        </w:rPr>
        <w:t xml:space="preserve">1.1</w:t>
      </w:r>
      <w:r>
        <w:rPr>
          <w:rFonts w:hint="eastAsia" w:ascii="宋体" w:hAnsi="宋体"/>
          <w:sz w:val="24"/>
          <w:szCs w:val="24"/>
        </w:rPr>
        <w:t xml:space="preserve">吴江区经济结构</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吴江区近5年来实现地区生产总值收入情况进行了数据分析，具体详见下表：</w:t>
      </w:r>
    </w:p>
    <w:p>
      <w:pPr>
        <w:pStyle w:val="Caption"/>
        <w:spacing w:before="156" w:beforeLines="50" w:after="156" w:afterLines="50" w:line="480" w:lineRule="exact"/>
        <w:jc w:val="center"/>
        <w:rPr>
          <w:rFonts w:ascii="Times New Roman" w:hAnsi="Times New Roman" w:eastAsia="仿宋_GB2312"/>
          <w:b/>
          <w:bCs/>
          <w:sz w:val="28"/>
          <w:szCs w:val="28"/>
        </w:rPr>
      </w:pPr>
      <w:r>
        <w:rPr>
          <w:rFonts w:ascii="Times New Roman" w:hAnsi="Times New Roman" w:eastAsia="仿宋_GB2312"/>
          <w:b/>
          <w:bCs/>
          <w:sz w:val="28"/>
          <w:szCs w:val="28"/>
        </w:rPr>
        <w:t xml:space="preserve">表</w:t>
      </w:r>
      <w:r>
        <w:rPr>
          <w:rFonts w:ascii="Times New Roman" w:hAnsi="Times New Roman" w:eastAsia="仿宋_GB2312"/>
          <w:b/>
          <w:bCs/>
          <w:sz w:val="28"/>
          <w:szCs w:val="28"/>
        </w:rPr>
        <w:t xml:space="preserve">1 </w:t>
      </w:r>
      <w:r>
        <w:rPr>
          <w:rFonts w:ascii="Times New Roman" w:hAnsi="Times New Roman" w:eastAsia="仿宋_GB2312"/>
          <w:b/>
          <w:bCs/>
          <w:sz w:val="28"/>
          <w:szCs w:val="28"/>
        </w:rPr>
        <w:t xml:space="preserve">吴江区实现地区生产总值分析表</w:t>
      </w:r>
    </w:p>
    <w:tbl>
      <w:tblPr>
        <w:tblStyle w:val="NormalTable"/>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ook w:val="04A0" w:firstRow="1" w:lastRow="0" w:firstColumn="1" w:lastColumn="0" w:noHBand="0" w:noVBand="1"/>
      </w:tblPr>
      <w:tblGrid>
        <w:gridCol w:w="2953"/>
        <w:gridCol w:w="1210"/>
        <w:gridCol w:w="1077"/>
        <w:gridCol w:w="1077"/>
        <w:gridCol w:w="1077"/>
        <w:gridCol w:w="1128"/>
      </w:tblGrid>
      <w:tr>
        <w:trPr>
          <w:trHeight w:val="340"/>
          <w:tblHeader/>
        </w:trPr>
        <w:tc>
          <w:tcPr>
            <w:tcW w:w="1732" w:type="pct"/>
            <w:vAlign w:val="center"/>
          </w:tcPr>
          <w:p>
            <w:pPr>
              <w:spacing w:line="240" w:lineRule="atLeast"/>
              <w:jc w:val="center"/>
              <w:rPr>
                <w:b/>
                <w:bCs/>
                <w:sz w:val="21"/>
                <w:szCs w:val="21"/>
              </w:rPr>
            </w:pPr>
            <w:r>
              <w:rPr>
                <w:b/>
                <w:bCs/>
                <w:sz w:val="21"/>
                <w:szCs w:val="21"/>
              </w:rPr>
              <w:t xml:space="preserve">类别</w:t>
            </w:r>
          </w:p>
        </w:tc>
        <w:tc>
          <w:tcPr>
            <w:tcW w:w="710" w:type="pct"/>
            <w:vAlign w:val="center"/>
          </w:tcPr>
          <w:p>
            <w:pPr>
              <w:spacing w:line="240" w:lineRule="atLeast"/>
              <w:jc w:val="center"/>
              <w:rPr>
                <w:b/>
                <w:bCs/>
                <w:sz w:val="21"/>
                <w:szCs w:val="21"/>
              </w:rPr>
            </w:pPr>
            <w:r>
              <w:rPr>
                <w:b/>
                <w:bCs/>
                <w:sz w:val="21"/>
                <w:szCs w:val="21"/>
              </w:rPr>
              <w:t xml:space="preserve">2018</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2019</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2020</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2021</w:t>
            </w:r>
            <w:r>
              <w:rPr>
                <w:b/>
                <w:bCs/>
                <w:sz w:val="21"/>
                <w:szCs w:val="21"/>
              </w:rPr>
              <w:t xml:space="preserve">年</w:t>
            </w:r>
          </w:p>
        </w:tc>
        <w:tc>
          <w:tcPr>
            <w:tcW w:w="662" w:type="pct"/>
            <w:vAlign w:val="center"/>
          </w:tcPr>
          <w:p>
            <w:pPr>
              <w:spacing w:line="240" w:lineRule="atLeast"/>
              <w:jc w:val="center"/>
              <w:rPr>
                <w:b/>
                <w:bCs/>
                <w:sz w:val="21"/>
                <w:szCs w:val="21"/>
              </w:rPr>
            </w:pPr>
            <w:r>
              <w:rPr>
                <w:b/>
                <w:bCs/>
                <w:sz w:val="21"/>
                <w:szCs w:val="21"/>
              </w:rPr>
              <w:t xml:space="preserve">2022</w:t>
            </w:r>
            <w:r>
              <w:rPr>
                <w:b/>
                <w:bCs/>
                <w:sz w:val="21"/>
                <w:szCs w:val="21"/>
              </w:rPr>
              <w:t xml:space="preserve">年</w:t>
            </w:r>
          </w:p>
        </w:tc>
      </w:tr>
      <w:tr>
        <w:trPr>
          <w:trHeight w:val="340"/>
        </w:trPr>
        <w:tc>
          <w:tcPr>
            <w:tcW w:w="1732" w:type="pct"/>
            <w:vAlign w:val="center"/>
          </w:tcPr>
          <w:p>
            <w:pPr>
              <w:spacing w:line="240" w:lineRule="atLeast"/>
              <w:jc w:val="center"/>
              <w:rPr>
                <w:bCs/>
                <w:sz w:val="21"/>
                <w:szCs w:val="21"/>
              </w:rPr>
            </w:pPr>
            <w:r>
              <w:rPr>
                <w:bCs/>
                <w:sz w:val="21"/>
                <w:szCs w:val="21"/>
              </w:rPr>
              <w:t xml:space="preserve">全区实现地区生产总值（亿元）</w:t>
            </w:r>
          </w:p>
        </w:tc>
        <w:tc>
          <w:tcPr>
            <w:tcW w:w="710" w:type="pct"/>
            <w:vAlign w:val="center"/>
          </w:tcPr>
          <w:p>
            <w:pPr>
              <w:spacing w:line="240" w:lineRule="atLeast"/>
              <w:jc w:val="center"/>
              <w:rPr>
                <w:bCs/>
                <w:sz w:val="21"/>
                <w:szCs w:val="21"/>
              </w:rPr>
            </w:pPr>
            <w:r>
              <w:rPr>
                <w:bCs/>
                <w:sz w:val="21"/>
                <w:szCs w:val="21"/>
              </w:rPr>
              <w:t xml:space="preserve">1925.03</w:t>
            </w:r>
          </w:p>
        </w:tc>
        <w:tc>
          <w:tcPr>
            <w:tcW w:w="632" w:type="pct"/>
            <w:vAlign w:val="center"/>
          </w:tcPr>
          <w:p>
            <w:pPr>
              <w:spacing w:line="240" w:lineRule="atLeast"/>
              <w:jc w:val="center"/>
              <w:rPr>
                <w:bCs/>
                <w:sz w:val="21"/>
                <w:szCs w:val="21"/>
              </w:rPr>
            </w:pPr>
            <w:r>
              <w:rPr>
                <w:bCs/>
                <w:sz w:val="21"/>
                <w:szCs w:val="21"/>
              </w:rPr>
              <w:t xml:space="preserve">1958.16</w:t>
            </w:r>
          </w:p>
        </w:tc>
        <w:tc>
          <w:tcPr>
            <w:tcW w:w="632" w:type="pct"/>
            <w:vAlign w:val="center"/>
          </w:tcPr>
          <w:p>
            <w:pPr>
              <w:spacing w:line="240" w:lineRule="atLeast"/>
              <w:jc w:val="center"/>
              <w:rPr>
                <w:bCs/>
                <w:sz w:val="21"/>
                <w:szCs w:val="21"/>
              </w:rPr>
            </w:pPr>
            <w:r>
              <w:rPr>
                <w:bCs/>
                <w:sz w:val="21"/>
                <w:szCs w:val="21"/>
              </w:rPr>
              <w:t xml:space="preserve">2002.83</w:t>
            </w:r>
          </w:p>
        </w:tc>
        <w:tc>
          <w:tcPr>
            <w:tcW w:w="632" w:type="pct"/>
            <w:vAlign w:val="center"/>
          </w:tcPr>
          <w:p>
            <w:pPr>
              <w:spacing w:line="240" w:lineRule="atLeast"/>
              <w:jc w:val="center"/>
              <w:rPr>
                <w:bCs/>
                <w:sz w:val="21"/>
                <w:szCs w:val="21"/>
              </w:rPr>
            </w:pPr>
            <w:r>
              <w:rPr>
                <w:bCs/>
                <w:sz w:val="21"/>
                <w:szCs w:val="21"/>
              </w:rPr>
              <w:t xml:space="preserve">2224.53</w:t>
            </w:r>
          </w:p>
        </w:tc>
        <w:tc>
          <w:tcPr>
            <w:tcW w:w="662" w:type="pct"/>
            <w:vAlign w:val="center"/>
          </w:tcPr>
          <w:p>
            <w:pPr>
              <w:spacing w:line="240" w:lineRule="atLeast"/>
              <w:jc w:val="center"/>
              <w:rPr>
                <w:bCs/>
                <w:sz w:val="21"/>
                <w:szCs w:val="21"/>
              </w:rPr>
            </w:pPr>
            <w:r>
              <w:rPr>
                <w:bCs/>
                <w:sz w:val="21"/>
                <w:szCs w:val="21"/>
              </w:rPr>
              <w:t xml:space="preserve">2331.97</w:t>
            </w:r>
          </w:p>
        </w:tc>
      </w:tr>
      <w:tr>
        <w:trPr>
          <w:trHeight w:val="340"/>
        </w:trPr>
        <w:tc>
          <w:tcPr>
            <w:tcW w:w="1732" w:type="pct"/>
            <w:vAlign w:val="center"/>
          </w:tcPr>
          <w:p>
            <w:pPr>
              <w:spacing w:line="240" w:lineRule="atLeast"/>
              <w:jc w:val="center"/>
              <w:rPr>
                <w:bCs/>
                <w:sz w:val="21"/>
                <w:szCs w:val="21"/>
              </w:rPr>
            </w:pPr>
            <w:r>
              <w:rPr>
                <w:bCs/>
                <w:sz w:val="21"/>
                <w:szCs w:val="21"/>
              </w:rPr>
              <w:t xml:space="preserve">比上年同期增长率（</w:t>
            </w:r>
            <w:r>
              <w:rPr>
                <w:bCs/>
                <w:sz w:val="21"/>
                <w:szCs w:val="21"/>
              </w:rPr>
              <w:t xml:space="preserve">%</w:t>
            </w:r>
            <w:r>
              <w:rPr>
                <w:bCs/>
                <w:sz w:val="21"/>
                <w:szCs w:val="21"/>
              </w:rPr>
              <w:t xml:space="preserve">）</w:t>
            </w:r>
          </w:p>
        </w:tc>
        <w:tc>
          <w:tcPr>
            <w:tcW w:w="710" w:type="pct"/>
            <w:vAlign w:val="center"/>
          </w:tcPr>
          <w:p>
            <w:pPr>
              <w:jc w:val="center"/>
              <w:rPr>
                <w:bCs/>
                <w:sz w:val="21"/>
                <w:szCs w:val="21"/>
              </w:rPr>
            </w:pPr>
            <w:r>
              <w:rPr>
                <w:bCs/>
                <w:sz w:val="21"/>
                <w:szCs w:val="21"/>
              </w:rPr>
              <w:t xml:space="preserve">7.0</w:t>
            </w:r>
          </w:p>
        </w:tc>
        <w:tc>
          <w:tcPr>
            <w:tcW w:w="632" w:type="pct"/>
            <w:vAlign w:val="center"/>
          </w:tcPr>
          <w:p>
            <w:pPr>
              <w:jc w:val="center"/>
              <w:rPr>
                <w:bCs/>
                <w:sz w:val="21"/>
                <w:szCs w:val="21"/>
              </w:rPr>
            </w:pPr>
            <w:r>
              <w:rPr>
                <w:bCs/>
                <w:sz w:val="21"/>
                <w:szCs w:val="21"/>
              </w:rPr>
              <w:t xml:space="preserve">5.7</w:t>
            </w:r>
          </w:p>
        </w:tc>
        <w:tc>
          <w:tcPr>
            <w:tcW w:w="632" w:type="pct"/>
            <w:vAlign w:val="center"/>
          </w:tcPr>
          <w:p>
            <w:pPr>
              <w:jc w:val="center"/>
              <w:rPr>
                <w:bCs/>
                <w:sz w:val="21"/>
                <w:szCs w:val="21"/>
              </w:rPr>
            </w:pPr>
            <w:r>
              <w:rPr>
                <w:bCs/>
                <w:sz w:val="21"/>
                <w:szCs w:val="21"/>
              </w:rPr>
              <w:t xml:space="preserve">0.6</w:t>
            </w:r>
          </w:p>
        </w:tc>
        <w:tc>
          <w:tcPr>
            <w:tcW w:w="632" w:type="pct"/>
            <w:vAlign w:val="center"/>
          </w:tcPr>
          <w:p>
            <w:pPr>
              <w:jc w:val="center"/>
              <w:rPr>
                <w:bCs/>
                <w:sz w:val="21"/>
                <w:szCs w:val="21"/>
              </w:rPr>
            </w:pPr>
            <w:r>
              <w:rPr>
                <w:bCs/>
                <w:sz w:val="21"/>
                <w:szCs w:val="21"/>
              </w:rPr>
              <w:t xml:space="preserve">8.0%</w:t>
            </w:r>
          </w:p>
        </w:tc>
        <w:tc>
          <w:tcPr>
            <w:tcW w:w="662" w:type="pct"/>
            <w:vAlign w:val="center"/>
          </w:tcPr>
          <w:p>
            <w:pPr>
              <w:jc w:val="center"/>
              <w:rPr>
                <w:bCs/>
                <w:sz w:val="21"/>
                <w:szCs w:val="21"/>
              </w:rPr>
            </w:pPr>
            <w:r>
              <w:rPr>
                <w:bCs/>
                <w:sz w:val="21"/>
                <w:szCs w:val="21"/>
              </w:rPr>
              <w:t xml:space="preserve">2.3%</w:t>
            </w:r>
          </w:p>
        </w:tc>
      </w:tr>
    </w:tbl>
    <w:p>
      <w:pPr>
        <w:snapToGrid w:val="0"/>
        <w:spacing w:line="480" w:lineRule="exact"/>
        <w:ind w:firstLine="480" w:firstLineChars="200"/>
        <w:rPr>
          <w:rFonts w:ascii="宋体" w:hAnsi="宋体"/>
          <w:sz w:val="24"/>
          <w:szCs w:val="24"/>
        </w:rPr>
      </w:pPr>
      <w:r>
        <w:rPr>
          <w:rFonts w:ascii="宋体" w:hAnsi="宋体"/>
          <w:sz w:val="24"/>
          <w:szCs w:val="24"/>
        </w:rPr>
        <w:t xml:space="preserve">2022年，吴江</w:t>
      </w:r>
      <w:r>
        <w:rPr>
          <w:rFonts w:hint="eastAsia" w:ascii="宋体" w:hAnsi="宋体"/>
          <w:sz w:val="24"/>
          <w:szCs w:val="24"/>
        </w:rPr>
        <w:t xml:space="preserve">地区</w:t>
      </w:r>
      <w:r>
        <w:rPr>
          <w:rFonts w:ascii="宋体" w:hAnsi="宋体"/>
          <w:sz w:val="24"/>
          <w:szCs w:val="24"/>
        </w:rPr>
        <w:t xml:space="preserve">生产总值增速相较2021年（增长率8%）降幅明显，但增速高于苏州全市平均水平。</w:t>
      </w:r>
    </w:p>
    <w:p>
      <w:pPr>
        <w:widowControl w:val="0"/>
        <w:snapToGrid w:val="0"/>
        <w:spacing w:line="480" w:lineRule="exact"/>
        <w:ind w:left="560"/>
        <w:jc w:val="both"/>
        <w:rPr>
          <w:rFonts w:ascii="宋体" w:hAnsi="宋体"/>
          <w:sz w:val="24"/>
          <w:szCs w:val="24"/>
        </w:rPr>
      </w:pPr>
      <w:r>
        <w:rPr>
          <w:rFonts w:ascii="宋体" w:hAnsi="宋体"/>
          <w:sz w:val="24"/>
          <w:szCs w:val="24"/>
        </w:rPr>
        <w:t xml:space="preserve">1.2</w:t>
      </w:r>
      <w:r>
        <w:rPr>
          <w:rFonts w:hint="eastAsia" w:ascii="宋体" w:hAnsi="宋体"/>
          <w:sz w:val="24"/>
          <w:szCs w:val="24"/>
        </w:rPr>
        <w:t xml:space="preserve">吴江区人均可支配收入</w:t>
      </w:r>
    </w:p>
    <w:p>
      <w:pPr>
        <w:widowControl w:val="0"/>
        <w:snapToGrid w:val="0"/>
        <w:spacing w:line="480" w:lineRule="exact"/>
        <w:ind w:firstLine="480" w:firstLineChars="200"/>
        <w:jc w:val="both"/>
        <w:rPr>
          <w:rFonts w:ascii="宋体" w:hAnsi="宋体"/>
          <w:sz w:val="24"/>
          <w:szCs w:val="24"/>
        </w:rPr>
      </w:pPr>
      <w:r>
        <w:rPr>
          <w:rFonts w:ascii="宋体" w:hAnsi="宋体"/>
          <w:sz w:val="24"/>
          <w:szCs w:val="24"/>
        </w:rPr>
        <w:t xml:space="preserve">2022年，吴江区城乡居民人均可支配收入增幅高于地区生产总值增幅。城乡居民人均可支配收入分别达7.95万元和4.34万元，增长3.6%和5.7%，收入差距进一步缩小。</w:t>
      </w:r>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全年新上市销售项目10个，共领取预售许可证49份，共预售15235套、172.25万平方米，同比下降22.67%。截止年末，全区共计在售34079套、320.43万平方米，其中住宅成交约15631套，建筑面积约180.1万平方米，成交金额约301.97亿元，成交均价约16766元/平方米，同比下降幅度分别为23.85%、23.77%、28.84%和6.65%。去化周期相对平稳，约为12.26个月。</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四大板块（东太湖度假区、吴江开发区、盛泽镇、黎里镇）合计成交面积达211.77万平方米，占全区总销售面积的91.29%。各板块销售情况冷热不均，东太湖度假区由于区位和配套等优势，销售面积高于其他板块占据第一，盛泽镇第二，吴江开发区第三，黎里镇第四，；乡镇板块中震泽镇销售面积第一，其次分别为平望镇、七都镇和桃源镇。另外，盛泽镇和平望镇销售面积中安置房占比超过1/4。</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从住宅销售户型分布情况来看，各面积户型销售占比总体稳定，小于90平方米的刚需户型和大于144平方米的大户型维持稳定，改善需求中90-120平方米户型占比接近一半，120-144平方米户型占比略有上升。</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pStyle w:val="列出段落"/>
        <w:widowControl w:val="0"/>
        <w:snapToGrid w:val="0"/>
        <w:spacing w:after="0" w:line="480" w:lineRule="exact"/>
        <w:ind w:left="48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3.1限购限售政策松绑</w:t>
      </w:r>
    </w:p>
    <w:p>
      <w:pPr>
        <w:snapToGrid w:val="0"/>
        <w:spacing w:line="480" w:lineRule="exact"/>
        <w:ind w:firstLine="480" w:firstLineChars="200"/>
        <w:rPr>
          <w:rFonts w:ascii="宋体" w:hAnsi="宋体"/>
          <w:sz w:val="24"/>
          <w:szCs w:val="24"/>
        </w:rPr>
      </w:pPr>
      <w:r>
        <w:rPr>
          <w:rFonts w:ascii="宋体" w:hAnsi="宋体"/>
          <w:sz w:val="24"/>
          <w:szCs w:val="24"/>
        </w:rPr>
        <w:t xml:space="preserve">2022年5月9日，苏州市新房限制转让由3年调整为2年，二手房不再限制转让年限。非户籍居民家庭购房条件由3年内累计缴纳24个月社保调整为连续缴纳6个月社保。</w:t>
      </w:r>
    </w:p>
    <w:p>
      <w:pPr>
        <w:snapToGrid w:val="0"/>
        <w:spacing w:line="480" w:lineRule="exact"/>
        <w:ind w:firstLine="480" w:firstLineChars="200"/>
        <w:rPr>
          <w:rFonts w:ascii="宋体" w:hAnsi="宋体"/>
          <w:sz w:val="24"/>
          <w:szCs w:val="24"/>
        </w:rPr>
      </w:pPr>
      <w:r>
        <w:rPr>
          <w:rFonts w:ascii="宋体" w:hAnsi="宋体"/>
          <w:sz w:val="24"/>
          <w:szCs w:val="24"/>
        </w:rPr>
        <w:t xml:space="preserve">2022年9月16日，苏州市规定，非苏州市本地户籍居民家庭无需提供社保缴纳证明或个人所得税证明，可直接在苏州市姑苏区、相城区、吴中区、高新区购买首套房。</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3.2公积金支持力度不断加大</w:t>
      </w:r>
    </w:p>
    <w:p>
      <w:pPr>
        <w:snapToGrid w:val="0"/>
        <w:spacing w:line="480" w:lineRule="exact"/>
        <w:ind w:firstLine="480" w:firstLineChars="200"/>
        <w:rPr/>
      </w:pPr>
      <w:r>
        <w:rPr>
          <w:rFonts w:ascii="宋体" w:hAnsi="宋体"/>
          <w:sz w:val="24"/>
          <w:szCs w:val="24"/>
        </w:rPr>
        <w:t xml:space="preserve">2022年4月21日起，苏州市住房公积金个人贷款额度由45万元提高到60万元，家庭由70万元提高到90万元。</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3.3保障性租赁住房政策推进</w:t>
      </w:r>
    </w:p>
    <w:p>
      <w:pPr>
        <w:pStyle w:val="列出段落"/>
        <w:widowControl w:val="0"/>
        <w:snapToGrid w:val="0"/>
        <w:spacing w:after="0" w:line="480" w:lineRule="exact"/>
        <w:ind w:firstLine="48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2022年11月24日，苏州市住房和城乡建设局发布《苏州市发展保障性租赁住房实施办法》，对于保障性租赁住房在土地、财税、金融等方面给予政策支持。保障性租赁住房主要面向在苏州市无房的新市民、青年人等群体，不设收入线门槛。产业园区配套比例提升建设的保障性租赁住房优先保障产业园区内工人群体。</w:t>
      </w:r>
    </w:p>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5"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2" w:firstLineChars="200"/>
        <w:jc w:val="both"/>
        <w:rPr>
          <w:rFonts w:ascii="宋体" w:hAnsi="宋体"/>
          <w:b/>
          <w:sz w:val="24"/>
        </w:rPr>
      </w:pPr>
      <w:r>
        <w:rPr>
          <w:rFonts w:ascii="宋体" w:hAnsi="宋体"/>
          <w:b/>
          <w:sz w:val="24"/>
        </w:rPr>
        <w:t xml:space="preserve">5</w:t>
      </w:r>
      <w:r>
        <w:rPr>
          <w:rFonts w:hint="eastAsia" w:ascii="宋体" w:hAnsi="宋体"/>
          <w:b/>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2023年第四季度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eastAsia="宋体" w:asciiTheme="minorEastAsia" w:hAnsiTheme="minorEastAsia" w:eastAsiaTheme="minorEastAsia"/>
          <w:sz w:val="24"/>
          <w:szCs w:val="24"/>
        </w:rPr>
        <w:t xml:space="preserve">由于小带新村幢数较少且大多为别墅，市场交易不活跃，各大网站均无法获取其交易信息。</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7966"/>
      </w:tblGrid>
      <w:tr>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rPr>
          <w:cantSplit/>
          <w:trHeight w:val="4688" w:hRule="exact"/>
          <w:jc w:val="center"/>
        </w:trPr>
        <w:tc>
          <w:tcPr>
            <w:tcW w:w="7966" w:type="dxa"/>
            <w:vAlign w:val="center"/>
          </w:tcPr>
          <w:p>
            <w:pPr>
              <w:spacing w:line="360" w:lineRule="auto"/>
              <w:jc w:val="center"/>
              <w:rPr/>
            </w:pPr>
            <w:r>
              <w:pict>
                <v:shape id="_x0000_i0010" style="height:209pt;width:312pt" o:spid="_x0000_i0036" o:bordertopcolor="this" o:borderleftcolor="this" o:borderbottomcolor="this" o:borderrightcolor="this" type="#_x0000_t75">
                  <v:imagedata o:title="" r:id="rId10"/>
                </v:shape>
              </w:pict>
            </w:r>
            <w:r>
              <w:rPr>
                <w:rFonts w:hint="eastAsia" w:ascii="宋体" w:hAnsi="宋体" w:eastAsia="宋体" w:asciiTheme="minorEastAsia" w:hAnsiTheme="minorEastAsia" w:eastAsiaTheme="minorEastAsia"/>
                <w:sz w:val="24"/>
                <w:szCs w:val="24"/>
              </w:rPr>
              <w:t xml:space="preserve">由于小带新村幢数较少且大多为别墅，市场交易不活跃，各大网站均无法获取其交易信息与一手房销售备案价格。</w:t>
            </w:r>
          </w:p>
        </w:tc>
      </w:tr>
    </w:tbl>
    <w:p>
      <w:pPr>
        <w:spacing w:line="480" w:lineRule="exact"/>
        <w:ind w:firstLine="361" w:firstLineChars="200"/>
        <w:jc w:val="center"/>
        <w:rPr>
          <w:rFonts w:ascii="宋体" w:hAnsi="宋体"/>
          <w:b/>
          <w:sz w:val="18"/>
          <w:szCs w:val="18"/>
        </w:rPr>
      </w:pPr>
      <w:r>
        <w:rPr>
          <w:rFonts w:hint="eastAsia" w:ascii="宋体" w:hAnsi="宋体"/>
          <w:b/>
          <w:sz w:val="18"/>
          <w:szCs w:val="18"/>
        </w:rPr>
        <w:t xml:space="preserve">苏州市吴江区小带新村</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Look w:val="04A0" w:firstRow="1" w:lastRow="0" w:firstColumn="1" w:lastColumn="0" w:noHBand="0" w:noVBand="1"/>
      </w:tblPr>
      <w:tblGrid>
        <w:gridCol w:w="1040"/>
        <w:gridCol w:w="1460"/>
        <w:gridCol w:w="1560"/>
        <w:gridCol w:w="1516"/>
        <w:gridCol w:w="1520"/>
        <w:gridCol w:w="1516"/>
        <w:gridCol w:w="1516"/>
      </w:tblGrid>
      <w:tr>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F32050920230005424</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F32050920230004646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s202302100040</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s202302060174</w:t>
            </w:r>
          </w:p>
        </w:tc>
      </w:tr>
      <w:tr>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吴江区震泽镇小带新村4幢102室普通多层住宅标准房基准价格评估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砥定街勤幸路2号102</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明港路贯前街155号408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望山路望湖路4幢404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莘塔大道435号304</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68.52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62.53</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118.68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35.68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88.11</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3/5</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一间朝南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1998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1995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1998</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28</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25</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00023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00011</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r>
      <w:tr>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2023年11月05日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4158</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4213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4388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4211</w:t>
            </w:r>
          </w:p>
        </w:tc>
      </w:tr>
      <w:tr>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2"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指数，吴江区2022年11月</w:t>
      </w:r>
      <w:r>
        <w:rPr>
          <w:rFonts w:hint="eastAsia" w:ascii="宋体" w:hAnsi="宋体" w:cs="宋体"/>
          <w:sz w:val="24"/>
          <w:szCs w:val="24"/>
          <w:shd w:val="clear" w:color="auto" w:fill="FFFFFF"/>
        </w:rPr>
        <w:t xml:space="preserve">至2023年10月</w:t>
      </w:r>
      <w:r>
        <w:rPr>
          <w:rFonts w:hint="eastAsia" w:ascii="宋体" w:hAnsi="宋体" w:cs="宋体"/>
          <w:sz w:val="24"/>
          <w:szCs w:val="24"/>
          <w:shd w:val="clear" w:color="auto" w:fill="FFFFFF"/>
        </w:rPr>
        <w:t xml:space="preserve">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358"/>
        <w:gridCol w:w="1716"/>
        <w:gridCol w:w="1816"/>
        <w:gridCol w:w="1816"/>
        <w:gridCol w:w="1816"/>
      </w:tblGrid>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2022年11月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2022年12月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2023年01月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2023年02月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1935</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1959</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1973</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2023年03月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2023年04月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2023年05月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2023年06月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1992</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2023年07月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2023年08月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2023年09月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2023年10月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041"/>
        <w:gridCol w:w="1560"/>
        <w:gridCol w:w="1486"/>
        <w:gridCol w:w="1488"/>
        <w:gridCol w:w="1488"/>
        <w:gridCol w:w="1488"/>
      </w:tblGrid>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w:t>
            </w:r>
            <w:r>
              <w:rPr>
                <w:rFonts w:hint="eastAsia"/>
                <w:b/>
              </w:rPr>
              <w:t xml:space="preserve">A</w:t>
            </w:r>
          </w:p>
        </w:tc>
        <w:tc>
          <w:tcPr>
            <w:tcW w:w="779" w:type="pct"/>
            <w:shd w:val="clear" w:color="auto" w:fill="FFFFFF"/>
            <w:vAlign w:val="center"/>
          </w:tcPr>
          <w:p>
            <w:pPr>
              <w:jc w:val="center"/>
              <w:rPr>
                <w:b/>
              </w:rPr>
            </w:pPr>
            <w:r>
              <w:rPr>
                <w:rFonts w:hint="eastAsia"/>
                <w:b/>
              </w:rPr>
              <w:t xml:space="preserve">可比实例</w:t>
            </w:r>
            <w:r>
              <w:rPr>
                <w:rFonts w:hint="eastAsia"/>
                <w:b/>
              </w:rPr>
              <w:t xml:space="preserve">B</w:t>
            </w:r>
          </w:p>
        </w:tc>
        <w:tc>
          <w:tcPr>
            <w:tcW w:w="779" w:type="pct"/>
            <w:shd w:val="clear" w:color="auto" w:fill="FFFFFF"/>
            <w:vAlign w:val="center"/>
          </w:tcPr>
          <w:p>
            <w:pPr>
              <w:jc w:val="center"/>
              <w:rPr>
                <w:b/>
              </w:rPr>
            </w:pPr>
            <w:r>
              <w:rPr>
                <w:rFonts w:hint="eastAsia"/>
                <w:b/>
              </w:rPr>
              <w:t xml:space="preserve">可比实例</w:t>
            </w:r>
            <w:r>
              <w:rPr>
                <w:rFonts w:hint="eastAsia"/>
                <w:b/>
              </w:rPr>
              <w:t xml:space="preserve">C</w:t>
            </w:r>
          </w:p>
        </w:tc>
        <w:tc>
          <w:tcPr>
            <w:tcW w:w="779" w:type="pct"/>
            <w:shd w:val="clear" w:color="auto" w:fill="FFFFFF"/>
            <w:vAlign w:val="center"/>
          </w:tcPr>
          <w:p>
            <w:pPr>
              <w:jc w:val="center"/>
              <w:rPr>
                <w:b/>
              </w:rPr>
            </w:pPr>
            <w:r>
              <w:rPr>
                <w:rFonts w:hint="eastAsia"/>
                <w:b/>
              </w:rPr>
              <w:t xml:space="preserve">可比实例</w:t>
            </w:r>
            <w:r>
              <w:rPr>
                <w:rFonts w:hint="eastAsia"/>
                <w:b/>
              </w:rPr>
              <w:t xml:space="preserve">D</w:t>
            </w:r>
          </w:p>
        </w:tc>
      </w:tr>
      <w:tr>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2023年10月05日</w:t>
            </w:r>
          </w:p>
        </w:tc>
        <w:tc>
          <w:tcPr>
            <w:tcW w:w="778" w:type="pct"/>
            <w:shd w:val="clear" w:color="auto" w:fill="FFFFFF"/>
            <w:vAlign w:val="center"/>
          </w:tcPr>
          <w:p>
            <w:pPr>
              <w:jc w:val="center"/>
              <w:rPr/>
            </w:pPr>
            <w:r>
              <w:rPr>
                <w:rFonts w:hint="eastAsia" w:ascii="宋体" w:hAnsi="宋体" w:cs="宋体"/>
              </w:rPr>
              <w:t xml:space="preserve">2023年01月</w:t>
            </w:r>
          </w:p>
        </w:tc>
        <w:tc>
          <w:tcPr>
            <w:tcW w:w="779" w:type="pct"/>
            <w:shd w:val="clear" w:color="auto" w:fill="FFFFFF"/>
            <w:vAlign w:val="center"/>
          </w:tcPr>
          <w:p>
            <w:pPr>
              <w:jc w:val="center"/>
              <w:rPr/>
            </w:pPr>
            <w:r>
              <w:rPr>
                <w:rFonts w:hint="eastAsia" w:ascii="宋体" w:hAnsi="宋体" w:cs="宋体"/>
              </w:rPr>
              <w:t xml:space="preserve">2023年02月</w:t>
            </w:r>
          </w:p>
        </w:tc>
        <w:tc>
          <w:tcPr>
            <w:tcW w:w="779" w:type="pct"/>
            <w:shd w:val="clear" w:color="auto" w:fill="FFFFFF"/>
            <w:vAlign w:val="center"/>
          </w:tcPr>
          <w:p>
            <w:pPr>
              <w:jc w:val="center"/>
              <w:rPr/>
            </w:pPr>
            <w:r>
              <w:rPr>
                <w:rFonts w:hint="eastAsia" w:ascii="宋体" w:hAnsi="宋体" w:cs="宋体"/>
              </w:rPr>
              <w:t xml:space="preserve">2023年02月</w:t>
            </w:r>
          </w:p>
        </w:tc>
        <w:tc>
          <w:tcPr>
            <w:tcW w:w="779" w:type="pct"/>
            <w:shd w:val="clear" w:color="auto" w:fill="FFFFFF"/>
            <w:vAlign w:val="center"/>
          </w:tcPr>
          <w:p>
            <w:pPr>
              <w:jc w:val="center"/>
              <w:rPr/>
            </w:pPr>
            <w:r>
              <w:rPr>
                <w:rFonts w:hint="eastAsia" w:ascii="宋体" w:hAnsi="宋体" w:cs="宋体"/>
              </w:rPr>
              <w:t xml:space="preserve">2023年02月</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4158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4213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4388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4211</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rPr/>
            </w:pPr>
            <w:r>
              <w:rPr>
                <w:rFonts w:hint="eastAsia" w:ascii="宋体" w:hAnsi="宋体" w:cs="宋体"/>
              </w:rPr>
              <w:t xml:space="preserve">2046</w:t>
            </w:r>
          </w:p>
        </w:tc>
        <w:tc>
          <w:tcPr>
            <w:tcW w:w="778" w:type="pct"/>
            <w:shd w:val="clear" w:color="auto" w:fill="FFFFFF"/>
            <w:vAlign w:val="center"/>
          </w:tcPr>
          <w:p>
            <w:pPr>
              <w:jc w:val="center"/>
              <w:rPr/>
            </w:pPr>
            <w:r>
              <w:rPr>
                <w:rFonts w:hint="eastAsia" w:ascii="宋体" w:hAnsi="宋体" w:cs="宋体"/>
              </w:rPr>
              <w:t xml:space="preserve">1959</w:t>
            </w:r>
          </w:p>
        </w:tc>
        <w:tc>
          <w:tcPr>
            <w:tcW w:w="779" w:type="pct"/>
            <w:shd w:val="clear" w:color="auto" w:fill="FFFFFF"/>
            <w:vAlign w:val="center"/>
          </w:tcPr>
          <w:p>
            <w:pPr>
              <w:jc w:val="center"/>
              <w:rPr/>
            </w:pPr>
            <w:r>
              <w:rPr>
                <w:rFonts w:hint="eastAsia" w:ascii="宋体" w:hAnsi="宋体" w:cs="宋体"/>
              </w:rPr>
              <w:t xml:space="preserve">1973</w:t>
            </w:r>
          </w:p>
        </w:tc>
        <w:tc>
          <w:tcPr>
            <w:tcW w:w="779" w:type="pct"/>
            <w:shd w:val="clear" w:color="auto" w:fill="FFFFFF"/>
            <w:vAlign w:val="center"/>
          </w:tcPr>
          <w:p>
            <w:pPr>
              <w:jc w:val="center"/>
              <w:rPr/>
            </w:pPr>
            <w:r>
              <w:rPr>
                <w:rFonts w:hint="eastAsia" w:ascii="宋体" w:hAnsi="宋体" w:cs="宋体"/>
              </w:rPr>
              <w:t xml:space="preserve">1973</w:t>
            </w:r>
          </w:p>
        </w:tc>
        <w:tc>
          <w:tcPr>
            <w:tcW w:w="779" w:type="pct"/>
            <w:shd w:val="clear" w:color="auto" w:fill="FFFFFF"/>
            <w:vAlign w:val="center"/>
          </w:tcPr>
          <w:p>
            <w:pPr>
              <w:jc w:val="center"/>
              <w:rPr/>
            </w:pPr>
            <w:r>
              <w:rPr>
                <w:rFonts w:hint="eastAsia" w:ascii="宋体" w:hAnsi="宋体" w:cs="宋体"/>
              </w:rPr>
              <w:t xml:space="preserve">1973</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2046/2046</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2046/1959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2046/1973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2046/1973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2046/1973</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rPr/>
            </w:pPr>
            <w:r>
              <w:rPr>
                <w:rFonts w:hint="eastAsia" w:ascii="宋体" w:hAnsi="宋体" w:cs="宋体"/>
              </w:rPr>
              <w:t xml:space="preserve">1.0000</w:t>
            </w:r>
          </w:p>
        </w:tc>
        <w:tc>
          <w:tcPr>
            <w:tcW w:w="778" w:type="pct"/>
            <w:shd w:val="clear" w:color="auto" w:fill="FFFFFF"/>
            <w:vAlign w:val="center"/>
          </w:tcPr>
          <w:p>
            <w:pPr>
              <w:jc w:val="center"/>
              <w:rPr/>
            </w:pPr>
            <w:r>
              <w:rPr>
                <w:rFonts w:hint="eastAsia" w:ascii="宋体" w:hAnsi="宋体" w:cs="宋体"/>
              </w:rPr>
              <w:t xml:space="preserve">1.044</w:t>
            </w:r>
          </w:p>
        </w:tc>
        <w:tc>
          <w:tcPr>
            <w:tcW w:w="779" w:type="pct"/>
            <w:shd w:val="clear" w:color="auto" w:fill="FFFFFF"/>
            <w:vAlign w:val="center"/>
          </w:tcPr>
          <w:p>
            <w:pPr>
              <w:jc w:val="center"/>
              <w:rPr/>
            </w:pPr>
            <w:r>
              <w:rPr>
                <w:rFonts w:hint="eastAsia" w:ascii="宋体" w:hAnsi="宋体" w:cs="宋体"/>
              </w:rPr>
              <w:t xml:space="preserve">1.037</w:t>
            </w:r>
          </w:p>
        </w:tc>
        <w:tc>
          <w:tcPr>
            <w:tcW w:w="779" w:type="pct"/>
            <w:shd w:val="clear" w:color="auto" w:fill="FFFFFF"/>
            <w:vAlign w:val="center"/>
          </w:tcPr>
          <w:p>
            <w:pPr>
              <w:jc w:val="center"/>
              <w:rPr/>
            </w:pPr>
            <w:r>
              <w:rPr>
                <w:rFonts w:hint="eastAsia" w:ascii="宋体" w:hAnsi="宋体" w:cs="宋体"/>
              </w:rPr>
              <w:t xml:space="preserve">1.037</w:t>
            </w:r>
          </w:p>
        </w:tc>
        <w:tc>
          <w:tcPr>
            <w:tcW w:w="779" w:type="pct"/>
            <w:shd w:val="clear" w:color="auto" w:fill="FFFFFF"/>
            <w:vAlign w:val="center"/>
          </w:tcPr>
          <w:p>
            <w:pPr>
              <w:jc w:val="center"/>
              <w:rPr/>
            </w:pPr>
            <w:r>
              <w:rPr>
                <w:rFonts w:hint="eastAsia" w:ascii="宋体" w:hAnsi="宋体" w:cs="宋体"/>
              </w:rPr>
              <w:t xml:space="preserve">1.037</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备注：在价值时点2023年11月05日</w:t>
      </w:r>
      <w:r>
        <w:rPr>
          <w:rFonts w:hint="eastAsia" w:ascii="宋体" w:hAnsi="宋体" w:cs="宋体"/>
          <w:sz w:val="24"/>
          <w:szCs w:val="24"/>
        </w:rPr>
        <w:t xml:space="preserve">，2023年11月</w:t>
      </w:r>
      <w:r>
        <w:rPr>
          <w:rFonts w:hint="eastAsia" w:ascii="宋体" w:hAnsi="宋体" w:cs="宋体"/>
          <w:sz w:val="24"/>
          <w:szCs w:val="24"/>
        </w:rPr>
        <w:t xml:space="preserve">份价格指数尚未公布，本次估价采用2023年10月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2" w:firstLineChars="200"/>
        <w:rPr>
          <w:rFonts w:ascii="宋体" w:hAnsi="宋体" w:cs="宋体"/>
          <w:b/>
          <w:sz w:val="21"/>
          <w:szCs w:val="21"/>
        </w:rPr>
      </w:pPr>
      <w:bookmarkStart w:name="_Toc351596835" w:id="10"/>
      <w:bookmarkStart w:name="_Toc352325665" w:id="11"/>
      <w:r>
        <w:rPr>
          <w:rFonts w:hint="eastAsia" w:ascii="宋体" w:hAnsi="宋体" w:cs="宋体"/>
          <w:b/>
          <w:sz w:val="21"/>
          <w:szCs w:val="21"/>
        </w:rPr>
        <w:t xml:space="preserve">（1）住宅房屋层次因素系数表</w:t>
      </w:r>
      <w:bookmarkEnd w:id="10"/>
      <w:bookmarkEnd w:id="11"/>
    </w:p>
    <w:p>
      <w:pPr>
        <w:spacing w:line="440" w:lineRule="exact"/>
        <w:ind w:firstLine="480" w:firstLineChars="200"/>
        <w:rPr>
          <w:sz w:val="24"/>
        </w:rPr>
      </w:pPr>
      <w:r>
        <w:rPr>
          <w:sz w:val="24"/>
        </w:rPr>
        <w:t xml:space="preserve">A</w:t>
      </w:r>
      <w:r>
        <w:rPr>
          <w:sz w:val="24"/>
        </w:rPr>
        <w:t xml:space="preserve">、</w:t>
      </w:r>
      <w:r>
        <w:rPr>
          <w:rFonts w:hint="eastAsia"/>
          <w:sz w:val="24"/>
        </w:rPr>
        <w:t xml:space="preserve">（普通多层，对应代码：</w:t>
      </w:r>
      <w:r>
        <w:rPr>
          <w:rFonts w:hint="eastAsia"/>
          <w:sz w:val="24"/>
        </w:rPr>
        <w:t xml:space="preserve">111</w:t>
      </w:r>
      <w:r>
        <w:rPr>
          <w:rFonts w:hint="eastAsia"/>
          <w:sz w:val="24"/>
        </w:rPr>
        <w:t xml:space="preserve">）</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890"/>
        <w:gridCol w:w="818"/>
        <w:gridCol w:w="709"/>
        <w:gridCol w:w="992"/>
        <w:gridCol w:w="992"/>
        <w:gridCol w:w="1057"/>
        <w:gridCol w:w="1080"/>
        <w:gridCol w:w="1080"/>
      </w:tblGrid>
      <w:tr>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w:t>
            </w:r>
            <w:r>
              <w:rPr>
                <w:b/>
                <w:bCs/>
                <w:kern w:val="2"/>
                <w:sz w:val="21"/>
                <w:szCs w:val="21"/>
              </w:rPr>
              <w:t xml:space="preserve">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w:t>
            </w:r>
            <w:r>
              <w:rPr>
                <w:b/>
                <w:bCs/>
                <w:kern w:val="2"/>
                <w:sz w:val="21"/>
                <w:szCs w:val="21"/>
              </w:rPr>
              <w:t xml:space="preserve">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w:t>
            </w:r>
            <w:r>
              <w:rPr>
                <w:b/>
                <w:bCs/>
                <w:kern w:val="2"/>
                <w:sz w:val="21"/>
                <w:szCs w:val="21"/>
              </w:rPr>
              <w:t xml:space="preserve">层</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w:t>
      </w:r>
      <w:r>
        <w:rPr>
          <w:sz w:val="24"/>
        </w:rPr>
        <w:t xml:space="preserve">、电梯多层、小高层、高层</w:t>
      </w:r>
      <w:r>
        <w:rPr>
          <w:rFonts w:hint="eastAsia"/>
          <w:sz w:val="24"/>
        </w:rPr>
        <w:t xml:space="preserve">（对应代码：</w:t>
      </w:r>
      <w:r>
        <w:rPr>
          <w:rFonts w:hint="eastAsia"/>
          <w:sz w:val="24"/>
        </w:rPr>
        <w:t xml:space="preserve">112</w:t>
      </w:r>
      <w:r>
        <w:rPr>
          <w:rFonts w:hint="eastAsia"/>
          <w:sz w:val="24"/>
        </w:rPr>
        <w:t xml:space="preserve">、</w:t>
      </w:r>
      <w:r>
        <w:rPr>
          <w:rFonts w:hint="eastAsia"/>
          <w:sz w:val="24"/>
        </w:rPr>
        <w:t xml:space="preserve">113</w:t>
      </w:r>
      <w:r>
        <w:rPr>
          <w:rFonts w:hint="eastAsia"/>
          <w:sz w:val="24"/>
        </w:rPr>
        <w:t xml:space="preserve">、</w:t>
      </w:r>
      <w:r>
        <w:rPr>
          <w:rFonts w:hint="eastAsia"/>
          <w:sz w:val="24"/>
        </w:rPr>
        <w:t xml:space="preserve">114</w:t>
      </w:r>
      <w:r>
        <w:rPr>
          <w:rFonts w:hint="eastAsia"/>
          <w:sz w:val="24"/>
        </w:rPr>
        <w:t xml:space="preserve">）</w:t>
      </w:r>
    </w:p>
    <w:p>
      <w:pPr>
        <w:spacing w:line="440" w:lineRule="exact"/>
        <w:ind w:firstLine="480" w:firstLineChars="200"/>
        <w:rPr>
          <w:sz w:val="24"/>
        </w:rPr>
      </w:pPr>
      <w:r>
        <w:rPr>
          <w:rFonts w:hint="eastAsia"/>
          <w:sz w:val="24"/>
        </w:rPr>
        <w:t xml:space="preserve">以第</w:t>
      </w:r>
      <w:r>
        <w:rPr>
          <w:rFonts w:hint="eastAsia"/>
          <w:sz w:val="24"/>
        </w:rPr>
        <w:t xml:space="preserve">1</w:t>
      </w:r>
      <w:r>
        <w:rPr>
          <w:rFonts w:hint="eastAsia"/>
          <w:sz w:val="24"/>
        </w:rPr>
        <w:t xml:space="preserve">层或者基准层为基础，系数取</w:t>
      </w:r>
      <w:r>
        <w:rPr>
          <w:rFonts w:hint="eastAsia"/>
          <w:sz w:val="24"/>
        </w:rPr>
        <w:t xml:space="preserve">100</w:t>
      </w:r>
      <w:r>
        <w:rPr>
          <w:rFonts w:hint="eastAsia"/>
          <w:sz w:val="24"/>
        </w:rPr>
        <w:t xml:space="preserve">或者按照基准层系数如实填写，每上升一层加</w:t>
      </w:r>
      <w:r>
        <w:rPr>
          <w:rFonts w:hint="eastAsia"/>
          <w:sz w:val="24"/>
        </w:rPr>
        <w:t xml:space="preserve">0.5%</w:t>
      </w:r>
      <w:r>
        <w:rPr>
          <w:rFonts w:hint="eastAsia"/>
          <w:sz w:val="24"/>
        </w:rPr>
        <w:t xml:space="preserve">，每下降一层减</w:t>
      </w:r>
      <w:r>
        <w:rPr>
          <w:rFonts w:hint="eastAsia"/>
          <w:sz w:val="24"/>
        </w:rPr>
        <w:t xml:space="preserve">0.5%</w:t>
      </w:r>
      <w:r>
        <w:rPr>
          <w:rFonts w:hint="eastAsia"/>
          <w:sz w:val="24"/>
        </w:rPr>
        <w:t xml:space="preserve">，</w:t>
      </w:r>
      <w:r>
        <w:rPr>
          <w:rFonts w:hint="eastAsia"/>
          <w:sz w:val="24"/>
        </w:rPr>
        <w:t xml:space="preserve">20</w:t>
      </w:r>
      <w:r>
        <w:rPr>
          <w:rFonts w:hint="eastAsia"/>
          <w:sz w:val="24"/>
        </w:rPr>
        <w:t xml:space="preserve">层以上每上升一层加</w:t>
      </w:r>
      <w:r>
        <w:rPr>
          <w:rFonts w:hint="eastAsia"/>
          <w:sz w:val="24"/>
        </w:rPr>
        <w:t xml:space="preserve">0.25%</w:t>
      </w:r>
      <w:r>
        <w:rPr>
          <w:rFonts w:hint="eastAsia"/>
          <w:sz w:val="24"/>
        </w:rPr>
        <w:t xml:space="preserve">，顶层同顶层</w:t>
      </w:r>
      <w:r>
        <w:rPr>
          <w:rFonts w:hint="eastAsia"/>
          <w:sz w:val="24"/>
        </w:rPr>
        <w:t xml:space="preserve">-1</w:t>
      </w:r>
      <w:r>
        <w:rPr>
          <w:rFonts w:hint="eastAsia"/>
          <w:sz w:val="24"/>
        </w:rPr>
        <w:t xml:space="preserve">层。</w:t>
      </w:r>
    </w:p>
    <w:p>
      <w:pPr>
        <w:spacing w:line="440" w:lineRule="exact"/>
        <w:ind w:firstLine="422" w:firstLineChars="200"/>
        <w:rPr>
          <w:rFonts w:ascii="宋体" w:hAnsi="宋体" w:cs="宋体"/>
          <w:b/>
          <w:sz w:val="21"/>
          <w:szCs w:val="21"/>
        </w:rPr>
      </w:pPr>
      <w:bookmarkStart w:name="_Toc351596836" w:id="12"/>
      <w:bookmarkStart w:name="_Toc352325666" w:id="13"/>
      <w:r>
        <w:rPr>
          <w:rFonts w:hint="eastAsia" w:ascii="宋体" w:hAnsi="宋体" w:cs="宋体"/>
          <w:b/>
          <w:sz w:val="21"/>
          <w:szCs w:val="21"/>
        </w:rPr>
        <w:t xml:space="preserve">（2）住宅结构因素修正系数表</w:t>
      </w:r>
      <w:bookmarkEnd w:id="12"/>
      <w:bookmarkEnd w:id="13"/>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130"/>
        <w:gridCol w:w="2130"/>
        <w:gridCol w:w="2131"/>
        <w:gridCol w:w="2131"/>
      </w:tblGrid>
      <w:tr>
        <w:trPr>
          <w:trHeight w:val="60"/>
        </w:trPr>
        <w:tc>
          <w:tcPr>
            <w:tcW w:w="2130" w:type="dxa"/>
            <w:vAlign w:val="center"/>
          </w:tcPr>
          <w:p>
            <w:pPr>
              <w:jc w:val="center"/>
              <w:rPr>
                <w:sz w:val="21"/>
                <w:szCs w:val="21"/>
              </w:rPr>
            </w:pPr>
            <w:bookmarkStart w:name="_Toc351596837" w:id="14"/>
            <w:bookmarkStart w:name="_Toc352325667" w:id="15"/>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4"/>
      <w:bookmarkEnd w:id="15"/>
    </w:p>
    <w:p>
      <w:pPr>
        <w:rPr>
          <w:vanish/>
          <w:sz w:val="21"/>
          <w:szCs w:val="21"/>
        </w:rPr>
      </w:pPr>
      <w:bookmarkStart w:name="_Toc352325668" w:id="16"/>
      <w:bookmarkStart w:name="_Toc351596838" w:id="17"/>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597"/>
        <w:gridCol w:w="653"/>
        <w:gridCol w:w="653"/>
        <w:gridCol w:w="653"/>
        <w:gridCol w:w="1324"/>
        <w:gridCol w:w="1324"/>
        <w:gridCol w:w="1318"/>
      </w:tblGrid>
      <w:tr>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rPr/>
            </w:pPr>
            <w:r>
              <w:t xml:space="preserve">96</w:t>
            </w:r>
          </w:p>
        </w:tc>
        <w:tc>
          <w:tcPr>
            <w:tcW w:w="653" w:type="dxa"/>
          </w:tcPr>
          <w:p>
            <w:pPr>
              <w:jc w:val="center"/>
              <w:rPr/>
            </w:pPr>
            <w:r>
              <w:t xml:space="preserve">98</w:t>
            </w:r>
          </w:p>
        </w:tc>
        <w:tc>
          <w:tcPr>
            <w:tcW w:w="653" w:type="dxa"/>
          </w:tcPr>
          <w:p>
            <w:pPr>
              <w:jc w:val="center"/>
              <w:rPr/>
            </w:pPr>
            <w:r>
              <w:t xml:space="preserve">99</w:t>
            </w:r>
          </w:p>
        </w:tc>
        <w:tc>
          <w:tcPr>
            <w:tcW w:w="1324" w:type="dxa"/>
          </w:tcPr>
          <w:p>
            <w:pPr>
              <w:jc w:val="center"/>
              <w:rPr/>
            </w:pPr>
            <w:r>
              <w:t xml:space="preserve">100</w:t>
            </w:r>
          </w:p>
        </w:tc>
        <w:tc>
          <w:tcPr>
            <w:tcW w:w="1324" w:type="dxa"/>
          </w:tcPr>
          <w:p>
            <w:pPr>
              <w:jc w:val="center"/>
              <w:rPr/>
            </w:pPr>
            <w:r>
              <w:t xml:space="preserve">101</w:t>
            </w:r>
          </w:p>
        </w:tc>
        <w:tc>
          <w:tcPr>
            <w:tcW w:w="1318" w:type="dxa"/>
          </w:tcPr>
          <w:p>
            <w:pPr>
              <w:jc w:val="center"/>
              <w:rPr/>
            </w:pPr>
            <w:r>
              <w:t xml:space="preserve">102</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（4）</w:t>
      </w:r>
      <w:bookmarkEnd w:id="16"/>
      <w:bookmarkEnd w:id="17"/>
      <w:r>
        <w:rPr>
          <w:rFonts w:hint="eastAsia" w:ascii="宋体" w:hAnsi="宋体" w:cs="宋体"/>
          <w:b/>
          <w:sz w:val="21"/>
          <w:szCs w:val="21"/>
        </w:rPr>
        <w:t xml:space="preserve">住宅装修档次分档标准</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8"/>
        <w:gridCol w:w="1708"/>
        <w:gridCol w:w="1698"/>
        <w:gridCol w:w="1708"/>
        <w:gridCol w:w="1710"/>
      </w:tblGrid>
      <w:tr>
        <w:trPr>
          <w:trHeight w:val="60"/>
        </w:trPr>
        <w:tc>
          <w:tcPr>
            <w:tcW w:w="1698" w:type="dxa"/>
          </w:tcPr>
          <w:p>
            <w:pPr>
              <w:jc w:val="center"/>
              <w:rPr>
                <w:sz w:val="21"/>
                <w:szCs w:val="21"/>
              </w:rPr>
            </w:pPr>
            <w:bookmarkStart w:name="_Toc351596840" w:id="18"/>
            <w:bookmarkStart w:name="_Toc352325669" w:id="19"/>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3"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o:spid="_x0000_i0037" o:bordertopcolor="this" o:borderleftcolor="this" o:borderbottomcolor="this" o:borderrightcolor="this" o:oleicon="f" o:ole="" type="#_x0000_t75">
            <v:imagedata o:title="" r:id="rId12"/>
            <o:lock v:ext="edit" aspectratio="t"/>
          </v:shape>
          <o:OLEObject Type="Embed" ProgID="Equation.3" ShapeID="_x0000_i0003" DrawAspect="Content" ObjectID="_2141287712"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（5）住宅成新因素修正系数表</w:t>
      </w:r>
      <w:bookmarkEnd w:id="18"/>
      <w:bookmarkEnd w:id="19"/>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3"/>
        <w:gridCol w:w="4617"/>
        <w:gridCol w:w="2212"/>
      </w:tblGrid>
      <w:tr>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p>
        </w:tc>
      </w:tr>
      <w:tr>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w:t>
            </w:r>
            <w:r>
              <w:rPr>
                <w:rFonts w:hint="eastAsia"/>
                <w:sz w:val="21"/>
                <w:szCs w:val="21"/>
              </w:rPr>
              <w:t xml:space="preserve">1</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0-4</w:t>
            </w:r>
            <w:r>
              <w:rPr>
                <w:rFonts w:hint="eastAsia"/>
                <w:sz w:val="21"/>
                <w:szCs w:val="21"/>
              </w:rPr>
              <w:t xml:space="preserve">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w:t>
            </w:r>
            <w:r>
              <w:rPr>
                <w:rFonts w:hint="eastAsia"/>
                <w:sz w:val="21"/>
                <w:szCs w:val="21"/>
              </w:rPr>
              <w:t xml:space="preserve">1%</w:t>
            </w:r>
            <w:r>
              <w:rPr>
                <w:rFonts w:hint="eastAsia"/>
                <w:sz w:val="21"/>
                <w:szCs w:val="21"/>
              </w:rPr>
              <w:t xml:space="preserve">，此外，视房屋保养情况好坏，</w:t>
            </w:r>
            <w:r>
              <w:rPr>
                <w:rFonts w:hint="eastAsia"/>
                <w:sz w:val="21"/>
                <w:szCs w:val="21"/>
              </w:rPr>
              <w:t xml:space="preserve">可增减</w:t>
            </w:r>
            <w:r>
              <w:rPr>
                <w:rFonts w:hint="eastAsia"/>
                <w:sz w:val="21"/>
                <w:szCs w:val="21"/>
              </w:rPr>
              <w:t xml:space="preserve">1%</w:t>
            </w:r>
            <w:r>
              <w:rPr>
                <w:rFonts w:hint="eastAsia"/>
                <w:sz w:val="21"/>
                <w:szCs w:val="21"/>
              </w:rPr>
              <w:t xml:space="preserve">～</w:t>
            </w:r>
            <w:r>
              <w:rPr>
                <w:rFonts w:hint="eastAsia"/>
                <w:sz w:val="21"/>
                <w:szCs w:val="21"/>
              </w:rPr>
              <w:t xml:space="preserve">2%</w:t>
            </w:r>
          </w:p>
        </w:tc>
      </w:tr>
      <w:tr>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2</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5-8</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3</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9-12</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4</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13-16</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17-20</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6</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20</w:t>
            </w:r>
            <w:r>
              <w:rPr>
                <w:rFonts w:hint="eastAsia"/>
                <w:sz w:val="21"/>
                <w:szCs w:val="21"/>
              </w:rPr>
              <w:t xml:space="preserve">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2"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0" w:type="dxa"/>
          <w:right w:w="0" w:type="dxa"/>
        </w:tblCellMar>
        <w:tblLook w:val="04A0" w:firstRow="1" w:lastRow="0" w:firstColumn="1" w:lastColumn="0" w:noHBand="0" w:noVBand="1"/>
      </w:tblPr>
      <w:tblGrid>
        <w:gridCol w:w="474"/>
        <w:gridCol w:w="1241"/>
        <w:gridCol w:w="2931"/>
        <w:gridCol w:w="736"/>
        <w:gridCol w:w="736"/>
        <w:gridCol w:w="736"/>
        <w:gridCol w:w="736"/>
        <w:gridCol w:w="736"/>
      </w:tblGrid>
      <w:tr>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432"/>
        <w:gridCol w:w="811"/>
        <w:gridCol w:w="994"/>
        <w:gridCol w:w="1704"/>
        <w:gridCol w:w="423"/>
        <w:gridCol w:w="1987"/>
        <w:gridCol w:w="424"/>
        <w:gridCol w:w="1747"/>
      </w:tblGrid>
      <w:tr>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w:t>
            </w:r>
            <w:r>
              <w:rPr>
                <w:kern w:val="2"/>
                <w:sz w:val="21"/>
                <w:szCs w:val="21"/>
              </w:rPr>
              <w:t xml:space="preserve">200</w:t>
            </w:r>
            <w:r>
              <w:rPr>
                <w:kern w:val="2"/>
                <w:sz w:val="21"/>
                <w:szCs w:val="21"/>
              </w:rPr>
              <w:t xml:space="preserve">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w:t>
            </w:r>
            <w:r>
              <w:rPr>
                <w:kern w:val="2"/>
                <w:sz w:val="21"/>
                <w:szCs w:val="21"/>
              </w:rPr>
              <w:t xml:space="preserve">150</w:t>
            </w:r>
            <w:r>
              <w:rPr>
                <w:kern w:val="2"/>
                <w:sz w:val="21"/>
                <w:szCs w:val="21"/>
              </w:rPr>
              <w:t xml:space="preserve">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w:t>
            </w:r>
            <w:r>
              <w:rPr>
                <w:kern w:val="2"/>
                <w:sz w:val="21"/>
                <w:szCs w:val="21"/>
              </w:rPr>
              <w:t xml:space="preserve">100</w:t>
            </w:r>
            <w:r>
              <w:rPr>
                <w:kern w:val="2"/>
                <w:sz w:val="21"/>
                <w:szCs w:val="21"/>
              </w:rPr>
              <w:t xml:space="preserve">米内有污染源</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30%-40%</w:t>
            </w:r>
            <w:r>
              <w:rPr>
                <w:kern w:val="2"/>
                <w:sz w:val="21"/>
                <w:szCs w:val="21"/>
              </w:rPr>
              <w:t xml:space="preserve">，外型美观，小区内交通顺畅。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50-60%</w:t>
            </w:r>
            <w:r>
              <w:rPr>
                <w:kern w:val="2"/>
                <w:sz w:val="21"/>
                <w:szCs w:val="21"/>
              </w:rPr>
              <w:t xml:space="preserve">，外型整齐、统一，小区内交通条件一般。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60%</w:t>
            </w:r>
            <w:r>
              <w:rPr>
                <w:kern w:val="2"/>
                <w:sz w:val="21"/>
                <w:szCs w:val="21"/>
              </w:rPr>
              <w:t xml:space="preserve">以上，外型破旧杂乱，小区内交通拥挤。</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w:t>
            </w:r>
            <w:r>
              <w:rPr>
                <w:kern w:val="2"/>
                <w:sz w:val="21"/>
                <w:szCs w:val="21"/>
              </w:rPr>
              <w:t xml:space="preserve">40%</w:t>
            </w:r>
            <w:r>
              <w:rPr>
                <w:kern w:val="2"/>
                <w:sz w:val="21"/>
                <w:szCs w:val="21"/>
              </w:rPr>
              <w:t xml:space="preserve">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w:t>
            </w:r>
            <w:r>
              <w:rPr>
                <w:spacing w:val="20"/>
                <w:kern w:val="2"/>
                <w:sz w:val="21"/>
                <w:szCs w:val="21"/>
              </w:rPr>
              <w:t xml:space="preserve">24</w:t>
            </w:r>
            <w:r>
              <w:rPr>
                <w:spacing w:val="20"/>
                <w:kern w:val="2"/>
                <w:sz w:val="21"/>
                <w:szCs w:val="21"/>
              </w:rPr>
              <w:t xml:space="preserve">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w:t>
            </w:r>
            <w:r>
              <w:rPr>
                <w:kern w:val="2"/>
                <w:sz w:val="21"/>
                <w:szCs w:val="21"/>
              </w:rPr>
              <w:t xml:space="preserve">200</w:t>
            </w:r>
            <w:r>
              <w:rPr>
                <w:kern w:val="2"/>
                <w:sz w:val="21"/>
                <w:szCs w:val="21"/>
              </w:rPr>
              <w:t xml:space="preserve">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w:t>
            </w:r>
            <w:r>
              <w:rPr>
                <w:kern w:val="2"/>
                <w:sz w:val="21"/>
                <w:szCs w:val="21"/>
              </w:rPr>
              <w:t xml:space="preserve">300-500</w:t>
            </w:r>
            <w:r>
              <w:rPr>
                <w:kern w:val="2"/>
                <w:sz w:val="21"/>
                <w:szCs w:val="21"/>
              </w:rPr>
              <w:t xml:space="preserve">米之间。或距次干道距离在</w:t>
            </w:r>
            <w:r>
              <w:rPr>
                <w:kern w:val="2"/>
                <w:sz w:val="21"/>
                <w:szCs w:val="21"/>
              </w:rPr>
              <w:t xml:space="preserve">100-200</w:t>
            </w:r>
            <w:r>
              <w:rPr>
                <w:kern w:val="2"/>
                <w:sz w:val="21"/>
                <w:szCs w:val="21"/>
              </w:rPr>
              <w:t xml:space="preserve">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w:t>
            </w:r>
            <w:r>
              <w:rPr>
                <w:kern w:val="2"/>
                <w:sz w:val="21"/>
                <w:szCs w:val="21"/>
              </w:rPr>
              <w:t xml:space="preserve">700</w:t>
            </w:r>
            <w:r>
              <w:rPr>
                <w:kern w:val="2"/>
                <w:sz w:val="21"/>
                <w:szCs w:val="21"/>
              </w:rPr>
              <w:t xml:space="preserve">米，且距次干道距离大于</w:t>
            </w:r>
            <w:r>
              <w:rPr>
                <w:kern w:val="2"/>
                <w:sz w:val="21"/>
                <w:szCs w:val="21"/>
              </w:rPr>
              <w:t xml:space="preserve">400</w:t>
            </w:r>
            <w:r>
              <w:rPr>
                <w:kern w:val="2"/>
                <w:sz w:val="21"/>
                <w:szCs w:val="21"/>
              </w:rPr>
              <w:t xml:space="preserve">米之间</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w:t>
            </w:r>
            <w:r>
              <w:rPr>
                <w:kern w:val="2"/>
                <w:sz w:val="21"/>
                <w:szCs w:val="21"/>
              </w:rPr>
              <w:t xml:space="preserve">100</w:t>
            </w:r>
            <w:r>
              <w:rPr>
                <w:kern w:val="2"/>
                <w:sz w:val="21"/>
                <w:szCs w:val="21"/>
              </w:rPr>
              <w:t xml:space="preserve">米内，有</w:t>
            </w:r>
            <w:r>
              <w:rPr>
                <w:kern w:val="2"/>
                <w:sz w:val="21"/>
                <w:szCs w:val="21"/>
              </w:rPr>
              <w:t xml:space="preserve">3</w:t>
            </w:r>
            <w:r>
              <w:rPr>
                <w:kern w:val="2"/>
                <w:sz w:val="21"/>
                <w:szCs w:val="21"/>
              </w:rPr>
              <w:t xml:space="preserve">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w:t>
            </w:r>
            <w:r>
              <w:rPr>
                <w:kern w:val="2"/>
                <w:sz w:val="21"/>
                <w:szCs w:val="21"/>
              </w:rPr>
              <w:t xml:space="preserve">300</w:t>
            </w:r>
            <w:r>
              <w:rPr>
                <w:kern w:val="2"/>
                <w:sz w:val="21"/>
                <w:szCs w:val="21"/>
              </w:rPr>
              <w:t xml:space="preserve">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w:t>
            </w:r>
            <w:r>
              <w:rPr>
                <w:kern w:val="2"/>
                <w:sz w:val="21"/>
                <w:szCs w:val="21"/>
              </w:rPr>
              <w:t xml:space="preserve">500</w:t>
            </w:r>
            <w:r>
              <w:rPr>
                <w:kern w:val="2"/>
                <w:sz w:val="21"/>
                <w:szCs w:val="21"/>
              </w:rPr>
              <w:t xml:space="preserve">米以上</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w:t>
            </w:r>
            <w:r>
              <w:rPr>
                <w:kern w:val="2"/>
                <w:sz w:val="21"/>
                <w:szCs w:val="21"/>
              </w:rPr>
              <w:t xml:space="preserve">1000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2000</w:t>
            </w:r>
            <w:r>
              <w:rPr>
                <w:kern w:val="2"/>
                <w:sz w:val="21"/>
                <w:szCs w:val="21"/>
              </w:rPr>
              <w:t xml:space="preserve">米－</w:t>
            </w:r>
            <w:r>
              <w:rPr>
                <w:kern w:val="2"/>
                <w:sz w:val="21"/>
                <w:szCs w:val="21"/>
              </w:rPr>
              <w:t xml:space="preserve">3000</w:t>
            </w:r>
            <w:r>
              <w:rPr>
                <w:kern w:val="2"/>
                <w:sz w:val="21"/>
                <w:szCs w:val="21"/>
              </w:rPr>
              <w:t xml:space="preserve">米或距镇级医院</w:t>
            </w:r>
            <w:r>
              <w:rPr>
                <w:kern w:val="2"/>
                <w:sz w:val="21"/>
                <w:szCs w:val="21"/>
              </w:rPr>
              <w:t xml:space="preserve">1000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4000</w:t>
            </w:r>
            <w:r>
              <w:rPr>
                <w:kern w:val="2"/>
                <w:sz w:val="21"/>
                <w:szCs w:val="21"/>
              </w:rPr>
              <w:t xml:space="preserve">米以上且距镇级医院</w:t>
            </w:r>
            <w:r>
              <w:rPr>
                <w:kern w:val="2"/>
                <w:sz w:val="21"/>
                <w:szCs w:val="21"/>
              </w:rPr>
              <w:t xml:space="preserve">2000</w:t>
            </w:r>
            <w:r>
              <w:rPr>
                <w:kern w:val="2"/>
                <w:sz w:val="21"/>
                <w:szCs w:val="21"/>
              </w:rPr>
              <w:t xml:space="preserve">米以上</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300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600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1000</w:t>
            </w:r>
            <w:r>
              <w:rPr>
                <w:kern w:val="2"/>
                <w:sz w:val="21"/>
                <w:szCs w:val="21"/>
              </w:rPr>
              <w:t xml:space="preserve">米以上</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米范围内基本上无商业网点。</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Look w:val="04A0" w:firstRow="1" w:lastRow="0" w:firstColumn="1" w:lastColumn="0" w:noHBand="0" w:noVBand="1"/>
      </w:tblPr>
      <w:tblGrid>
        <w:gridCol w:w="1806"/>
        <w:gridCol w:w="1416"/>
        <w:gridCol w:w="1325"/>
        <w:gridCol w:w="1325"/>
        <w:gridCol w:w="1325"/>
        <w:gridCol w:w="1325"/>
      </w:tblGrid>
      <w:tr>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吴江区震泽镇小带新村4幢102室普通多层住宅标准房基准价格评估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砥定街勤幸路2号102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明港路贯前街155号408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望山路望湖路4幢404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莘塔大道435号304</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68.52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62.53</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118.68</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35.68</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88.11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102.01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103.02</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0.9803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0.9707</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00023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w:t>
            </w:r>
            <w:r>
              <w:rPr>
                <w:rFonts w:hint="eastAsia" w:ascii="宋体" w:hAnsi="宋体" w:cs="宋体"/>
              </w:rPr>
              <w:t xml:space="preserve">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1.037</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1.0337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1.0267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1.0166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1.0066</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w:t>
            </w:r>
            <w:r>
              <w:rPr>
                <w:rFonts w:hint="eastAsia" w:ascii="宋体" w:hAnsi="宋体" w:cs="宋体"/>
              </w:rPr>
              <w:t xml:space="preserve">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4158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4213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4388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4211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w:t>
            </w:r>
            <w:r>
              <w:rPr>
                <w:rFonts w:hint="eastAsia" w:ascii="宋体" w:hAnsi="宋体" w:cs="宋体"/>
              </w:rPr>
              <w:t xml:space="preserve">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4298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4325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4461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4239</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34"/>
        <w:gridCol w:w="1572"/>
        <w:gridCol w:w="1572"/>
        <w:gridCol w:w="1572"/>
        <w:gridCol w:w="1572"/>
      </w:tblGrid>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A</w:t>
            </w:r>
          </w:p>
        </w:tc>
        <w:tc>
          <w:tcPr>
            <w:tcW w:w="922" w:type="pct"/>
            <w:shd w:val="clear" w:color="auto" w:fill="auto"/>
            <w:vAlign w:val="center"/>
          </w:tcPr>
          <w:p>
            <w:pPr>
              <w:jc w:val="center"/>
              <w:rPr>
                <w:rFonts w:ascii="宋体" w:hAnsi="宋体" w:cs="宋体"/>
              </w:rPr>
            </w:pPr>
            <w:r>
              <w:rPr>
                <w:rFonts w:hint="eastAsia"/>
              </w:rPr>
              <w:t xml:space="preserve">可比案例</w:t>
            </w:r>
            <w:r>
              <w:rPr>
                <w:rFonts w:hint="eastAsia"/>
              </w:rPr>
              <w:t xml:space="preserve">B</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C</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D</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4158</w:t>
            </w:r>
          </w:p>
        </w:tc>
        <w:tc>
          <w:tcPr>
            <w:tcW w:w="922" w:type="pct"/>
            <w:shd w:val="clear" w:color="auto" w:fill="auto"/>
            <w:vAlign w:val="center"/>
          </w:tcPr>
          <w:p>
            <w:pPr>
              <w:jc w:val="center"/>
              <w:rPr>
                <w:rFonts w:ascii="宋体" w:hAnsi="宋体" w:cs="宋体"/>
              </w:rPr>
            </w:pPr>
            <w:r>
              <w:rPr>
                <w:rFonts w:hint="eastAsia" w:ascii="宋体" w:hAnsi="宋体" w:cs="宋体"/>
              </w:rPr>
              <w:t xml:space="preserve">4213</w:t>
            </w:r>
          </w:p>
        </w:tc>
        <w:tc>
          <w:tcPr>
            <w:tcW w:w="922" w:type="pct"/>
            <w:shd w:val="clear" w:color="auto" w:fill="auto"/>
            <w:vAlign w:val="center"/>
          </w:tcPr>
          <w:p>
            <w:pPr>
              <w:jc w:val="center"/>
              <w:rPr>
                <w:rFonts w:ascii="宋体" w:hAnsi="宋体" w:cs="宋体"/>
              </w:rPr>
            </w:pPr>
            <w:r>
              <w:rPr>
                <w:rFonts w:hint="eastAsia" w:ascii="宋体" w:hAnsi="宋体" w:cs="宋体"/>
              </w:rPr>
              <w:t xml:space="preserve">4388</w:t>
            </w:r>
          </w:p>
        </w:tc>
        <w:tc>
          <w:tcPr>
            <w:tcW w:w="922" w:type="pct"/>
            <w:shd w:val="clear" w:color="auto" w:fill="auto"/>
            <w:vAlign w:val="center"/>
          </w:tcPr>
          <w:p>
            <w:pPr>
              <w:jc w:val="center"/>
              <w:rPr>
                <w:rFonts w:ascii="宋体" w:hAnsi="宋体" w:cs="宋体"/>
              </w:rPr>
            </w:pPr>
            <w:r>
              <w:rPr>
                <w:rFonts w:hint="eastAsia" w:ascii="宋体" w:hAnsi="宋体" w:cs="宋体"/>
              </w:rPr>
              <w:t xml:space="preserve">4211</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1.044</w:t>
            </w:r>
          </w:p>
        </w:tc>
        <w:tc>
          <w:tcPr>
            <w:tcW w:w="922" w:type="pct"/>
            <w:shd w:val="clear" w:color="auto" w:fill="auto"/>
            <w:vAlign w:val="center"/>
          </w:tcPr>
          <w:p>
            <w:pPr>
              <w:jc w:val="center"/>
              <w:rPr>
                <w:rFonts w:ascii="宋体" w:hAnsi="宋体" w:cs="宋体"/>
              </w:rPr>
            </w:pPr>
            <w:r>
              <w:rPr>
                <w:rFonts w:hint="eastAsia" w:ascii="宋体" w:hAnsi="宋体" w:cs="宋体"/>
              </w:rPr>
              <w:t xml:space="preserve">1.037</w:t>
            </w:r>
          </w:p>
        </w:tc>
        <w:tc>
          <w:tcPr>
            <w:tcW w:w="922" w:type="pct"/>
            <w:shd w:val="clear" w:color="auto" w:fill="auto"/>
            <w:vAlign w:val="center"/>
          </w:tcPr>
          <w:p>
            <w:pPr>
              <w:jc w:val="center"/>
              <w:rPr>
                <w:rFonts w:ascii="宋体" w:hAnsi="宋体" w:cs="宋体"/>
              </w:rPr>
            </w:pPr>
            <w:r>
              <w:rPr>
                <w:rFonts w:hint="eastAsia" w:ascii="宋体" w:hAnsi="宋体" w:cs="宋体"/>
              </w:rPr>
              <w:t xml:space="preserve">1.037</w:t>
            </w:r>
          </w:p>
        </w:tc>
        <w:tc>
          <w:tcPr>
            <w:tcW w:w="922" w:type="pct"/>
            <w:shd w:val="clear" w:color="auto" w:fill="auto"/>
            <w:vAlign w:val="center"/>
          </w:tcPr>
          <w:p>
            <w:pPr>
              <w:jc w:val="center"/>
              <w:rPr>
                <w:rFonts w:ascii="宋体" w:hAnsi="宋体" w:cs="宋体"/>
              </w:rPr>
            </w:pPr>
            <w:r>
              <w:rPr>
                <w:rFonts w:hint="eastAsia" w:ascii="宋体" w:hAnsi="宋体" w:cs="宋体"/>
              </w:rPr>
              <w:t xml:space="preserve">1.037</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100/101</w:t>
            </w:r>
          </w:p>
        </w:tc>
        <w:tc>
          <w:tcPr>
            <w:tcW w:w="922" w:type="pct"/>
            <w:shd w:val="clear" w:color="auto" w:fill="auto"/>
            <w:vAlign w:val="center"/>
          </w:tcPr>
          <w:p>
            <w:pPr>
              <w:jc w:val="center"/>
              <w:rPr>
                <w:rFonts w:ascii="宋体" w:hAnsi="宋体" w:cs="宋体"/>
              </w:rPr>
            </w:pPr>
            <w:r>
              <w:rPr>
                <w:rFonts w:hint="eastAsia" w:ascii="宋体" w:hAnsi="宋体" w:cs="宋体"/>
              </w:rPr>
              <w:t xml:space="preserve">100/101</w:t>
            </w:r>
          </w:p>
        </w:tc>
        <w:tc>
          <w:tcPr>
            <w:tcW w:w="922" w:type="pct"/>
            <w:shd w:val="clear" w:color="auto" w:fill="auto"/>
            <w:vAlign w:val="center"/>
          </w:tcPr>
          <w:p>
            <w:pPr>
              <w:jc w:val="center"/>
              <w:rPr>
                <w:rFonts w:ascii="宋体" w:hAnsi="宋体" w:cs="宋体"/>
              </w:rPr>
            </w:pPr>
            <w:r>
              <w:rPr>
                <w:rFonts w:hint="eastAsia" w:ascii="宋体" w:hAnsi="宋体" w:cs="宋体"/>
              </w:rPr>
              <w:t xml:space="preserve">100/102.01</w:t>
            </w:r>
          </w:p>
        </w:tc>
        <w:tc>
          <w:tcPr>
            <w:tcW w:w="922" w:type="pct"/>
            <w:shd w:val="clear" w:color="auto" w:fill="auto"/>
            <w:vAlign w:val="center"/>
          </w:tcPr>
          <w:p>
            <w:pPr>
              <w:jc w:val="center"/>
              <w:rPr>
                <w:rFonts w:ascii="宋体" w:hAnsi="宋体" w:cs="宋体"/>
              </w:rPr>
            </w:pPr>
            <w:r>
              <w:rPr>
                <w:rFonts w:hint="eastAsia" w:ascii="宋体" w:hAnsi="宋体" w:cs="宋体"/>
              </w:rPr>
              <w:t xml:space="preserve">100/103.02</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r>
      <w:tr>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1.0337</w:t>
            </w:r>
          </w:p>
        </w:tc>
        <w:tc>
          <w:tcPr>
            <w:tcW w:w="922" w:type="pct"/>
            <w:shd w:val="clear" w:color="auto" w:fill="auto"/>
            <w:vAlign w:val="center"/>
          </w:tcPr>
          <w:p>
            <w:pPr>
              <w:jc w:val="center"/>
              <w:rPr>
                <w:rFonts w:ascii="宋体" w:hAnsi="宋体" w:cs="宋体"/>
              </w:rPr>
            </w:pPr>
            <w:r>
              <w:rPr>
                <w:rFonts w:hint="eastAsia" w:ascii="宋体" w:hAnsi="宋体" w:cs="宋体"/>
              </w:rPr>
              <w:t xml:space="preserve">1.0267</w:t>
            </w:r>
          </w:p>
        </w:tc>
        <w:tc>
          <w:tcPr>
            <w:tcW w:w="922" w:type="pct"/>
            <w:shd w:val="clear" w:color="auto" w:fill="auto"/>
            <w:vAlign w:val="center"/>
          </w:tcPr>
          <w:p>
            <w:pPr>
              <w:jc w:val="center"/>
              <w:rPr>
                <w:rFonts w:ascii="宋体" w:hAnsi="宋体" w:cs="宋体"/>
              </w:rPr>
            </w:pPr>
            <w:r>
              <w:rPr>
                <w:rFonts w:hint="eastAsia" w:ascii="宋体" w:hAnsi="宋体" w:cs="宋体"/>
              </w:rPr>
              <w:t xml:space="preserve">1.0166</w:t>
            </w:r>
          </w:p>
        </w:tc>
        <w:tc>
          <w:tcPr>
            <w:tcW w:w="922" w:type="pct"/>
            <w:shd w:val="clear" w:color="auto" w:fill="auto"/>
            <w:vAlign w:val="center"/>
          </w:tcPr>
          <w:p>
            <w:pPr>
              <w:jc w:val="center"/>
              <w:rPr>
                <w:rFonts w:ascii="宋体" w:hAnsi="宋体" w:cs="宋体"/>
              </w:rPr>
            </w:pPr>
            <w:r>
              <w:rPr>
                <w:rFonts w:hint="eastAsia" w:ascii="宋体" w:hAnsi="宋体" w:cs="宋体"/>
              </w:rPr>
              <w:t xml:space="preserve">1.0066</w:t>
            </w:r>
          </w:p>
        </w:tc>
      </w:tr>
      <w:tr>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4298</w:t>
            </w:r>
          </w:p>
        </w:tc>
        <w:tc>
          <w:tcPr>
            <w:tcW w:w="922" w:type="pct"/>
            <w:shd w:val="clear" w:color="auto" w:fill="auto"/>
            <w:vAlign w:val="center"/>
          </w:tcPr>
          <w:p>
            <w:pPr>
              <w:jc w:val="center"/>
              <w:rPr>
                <w:rFonts w:ascii="宋体" w:hAnsi="宋体" w:cs="宋体"/>
              </w:rPr>
            </w:pPr>
            <w:r>
              <w:rPr>
                <w:rFonts w:hint="eastAsia" w:ascii="宋体" w:hAnsi="宋体" w:cs="宋体"/>
              </w:rPr>
              <w:t xml:space="preserve">4325</w:t>
            </w:r>
          </w:p>
        </w:tc>
        <w:tc>
          <w:tcPr>
            <w:tcW w:w="922" w:type="pct"/>
            <w:shd w:val="clear" w:color="auto" w:fill="auto"/>
            <w:vAlign w:val="center"/>
          </w:tcPr>
          <w:p>
            <w:pPr>
              <w:jc w:val="center"/>
              <w:rPr>
                <w:rFonts w:ascii="宋体" w:hAnsi="宋体" w:cs="宋体"/>
              </w:rPr>
            </w:pPr>
            <w:r>
              <w:rPr>
                <w:rFonts w:hint="eastAsia" w:ascii="宋体" w:hAnsi="宋体" w:cs="宋体"/>
              </w:rPr>
              <w:t xml:space="preserve">4461</w:t>
            </w:r>
          </w:p>
        </w:tc>
        <w:tc>
          <w:tcPr>
            <w:tcW w:w="922" w:type="pct"/>
            <w:shd w:val="clear" w:color="auto" w:fill="auto"/>
            <w:vAlign w:val="center"/>
          </w:tcPr>
          <w:p>
            <w:pPr>
              <w:jc w:val="center"/>
              <w:rPr>
                <w:rFonts w:ascii="宋体" w:hAnsi="宋体" w:cs="宋体"/>
              </w:rPr>
            </w:pPr>
            <w:r>
              <w:rPr>
                <w:rFonts w:hint="eastAsia" w:ascii="宋体" w:hAnsi="宋体" w:cs="宋体"/>
              </w:rPr>
              <w:t xml:space="preserve">4239</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4298</w:t>
            </w:r>
          </w:p>
        </w:tc>
        <w:tc>
          <w:tcPr>
            <w:tcW w:w="922" w:type="pct"/>
            <w:shd w:val="clear" w:color="auto" w:fill="auto"/>
            <w:vAlign w:val="center"/>
          </w:tcPr>
          <w:p>
            <w:pPr>
              <w:jc w:val="center"/>
              <w:rPr>
                <w:rFonts w:ascii="宋体" w:hAnsi="宋体" w:cs="宋体"/>
              </w:rPr>
            </w:pPr>
            <w:r>
              <w:rPr>
                <w:rFonts w:hint="eastAsia" w:ascii="宋体" w:hAnsi="宋体" w:cs="宋体"/>
              </w:rPr>
              <w:t xml:space="preserve">4325</w:t>
            </w:r>
          </w:p>
        </w:tc>
        <w:tc>
          <w:tcPr>
            <w:tcW w:w="922" w:type="pct"/>
            <w:shd w:val="clear" w:color="auto" w:fill="auto"/>
            <w:vAlign w:val="center"/>
          </w:tcPr>
          <w:p>
            <w:pPr>
              <w:jc w:val="center"/>
              <w:rPr>
                <w:rFonts w:ascii="宋体" w:hAnsi="宋体" w:cs="宋体"/>
              </w:rPr>
            </w:pPr>
            <w:r>
              <w:rPr>
                <w:rFonts w:hint="eastAsia" w:ascii="宋体" w:hAnsi="宋体" w:cs="宋体"/>
              </w:rPr>
              <w:t xml:space="preserve">4461</w:t>
            </w:r>
          </w:p>
        </w:tc>
        <w:tc>
          <w:tcPr>
            <w:tcW w:w="922" w:type="pct"/>
            <w:shd w:val="clear" w:color="auto" w:fill="auto"/>
            <w:vAlign w:val="center"/>
          </w:tcPr>
          <w:p>
            <w:pPr>
              <w:jc w:val="center"/>
              <w:rPr>
                <w:rFonts w:ascii="宋体" w:hAnsi="宋体" w:cs="宋体"/>
              </w:rPr>
            </w:pPr>
            <w:r>
              <w:rPr>
                <w:rFonts w:hint="eastAsia" w:ascii="宋体" w:hAnsi="宋体" w:cs="宋体"/>
              </w:rPr>
              <w:t xml:space="preserve">4239</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rPr/>
      </w:pPr>
      <w:r>
        <w:rPr>
          <w:rFonts w:hint="eastAsia" w:ascii="宋体" w:hAnsi="宋体" w:cs="宋体"/>
          <w:sz w:val="24"/>
          <w:szCs w:val="24"/>
        </w:rPr>
        <w:t xml:space="preserve">标准房基准价格=(A+B+C+D)/4 =</w:t>
      </w:r>
      <w:r>
        <w:rPr>
          <w:rFonts w:ascii="宋体" w:hAnsi="宋体" w:cs="宋体"/>
          <w:sz w:val="24"/>
          <w:szCs w:val="24"/>
        </w:rPr>
        <w:t xml:space="preserve">4331</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0"/>
      <w:bookmarkStart w:name="_Toc32222395" w:id="21"/>
      <w:r>
        <w:rPr>
          <w:rFonts w:hint="eastAsia" w:ascii="黑体" w:eastAsia="黑体"/>
          <w:sz w:val="48"/>
        </w:rPr>
        <w:t xml:space="preserve">附    件</w:t>
      </w:r>
      <w:bookmarkEnd w:id="20"/>
      <w:bookmarkEnd w:id="21"/>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7"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00"/>
        <w:gridCol w:w="1985"/>
        <w:gridCol w:w="1842"/>
        <w:gridCol w:w="1843"/>
        <w:gridCol w:w="1985"/>
      </w:tblGrid>
      <w:tr>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w:t>
            </w:r>
            <w:r>
              <w:rPr>
                <w:rFonts w:hint="eastAsia"/>
              </w:rPr>
              <w:t xml:space="preserve">A</w:t>
            </w:r>
          </w:p>
        </w:tc>
        <w:tc>
          <w:tcPr>
            <w:tcW w:w="1842" w:type="dxa"/>
            <w:vAlign w:val="center"/>
          </w:tcPr>
          <w:p>
            <w:pPr>
              <w:jc w:val="center"/>
              <w:rPr>
                <w:rFonts w:ascii="宋体" w:hAnsi="宋体" w:cs="宋体"/>
              </w:rPr>
            </w:pPr>
            <w:r>
              <w:rPr>
                <w:rFonts w:hint="eastAsia"/>
              </w:rPr>
              <w:t xml:space="preserve">案例</w:t>
            </w:r>
            <w:r>
              <w:rPr>
                <w:rFonts w:hint="eastAsia"/>
              </w:rPr>
              <w:t xml:space="preserve">B</w:t>
            </w:r>
          </w:p>
        </w:tc>
        <w:tc>
          <w:tcPr>
            <w:tcW w:w="1843" w:type="dxa"/>
            <w:vAlign w:val="center"/>
          </w:tcPr>
          <w:p>
            <w:pPr>
              <w:jc w:val="center"/>
              <w:rPr>
                <w:rFonts w:ascii="宋体" w:hAnsi="宋体" w:cs="宋体"/>
              </w:rPr>
            </w:pPr>
            <w:r>
              <w:rPr>
                <w:rFonts w:hint="eastAsia"/>
              </w:rPr>
              <w:t xml:space="preserve">案例</w:t>
            </w:r>
            <w:r>
              <w:rPr>
                <w:rFonts w:hint="eastAsia"/>
              </w:rPr>
              <w:t xml:space="preserve">C</w:t>
            </w:r>
          </w:p>
        </w:tc>
        <w:tc>
          <w:tcPr>
            <w:tcW w:w="1985" w:type="dxa"/>
            <w:vAlign w:val="center"/>
          </w:tcPr>
          <w:p>
            <w:pPr>
              <w:jc w:val="center"/>
              <w:rPr>
                <w:rFonts w:ascii="宋体" w:hAnsi="宋体" w:cs="宋体"/>
              </w:rPr>
            </w:pPr>
            <w:r>
              <w:rPr>
                <w:rFonts w:hint="eastAsia"/>
              </w:rPr>
              <w:t xml:space="preserve">案例</w:t>
            </w:r>
            <w:r>
              <w:rPr>
                <w:rFonts w:hint="eastAsia"/>
              </w:rPr>
              <w:t xml:space="preserve">D</w:t>
            </w:r>
          </w:p>
        </w:tc>
      </w:tr>
      <w:tr>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rPr/>
            </w:pPr>
            <w:r>
              <w:rPr>
                <w:sz w:val="18"/>
                <w:szCs w:val="18"/>
              </w:rPr>
              <w:t xml:space="preserve">商品房销售网签数据</w:t>
            </w:r>
          </w:p>
        </w:tc>
        <w:tc>
          <w:tcPr>
            <w:tcW w:w="1842" w:type="dxa"/>
            <w:vAlign w:val="center"/>
          </w:tcPr>
          <w:p>
            <w:pPr>
              <w:jc w:val="center"/>
              <w:rPr/>
            </w:pPr>
            <w:r>
              <w:rPr>
                <w:sz w:val="18"/>
                <w:szCs w:val="18"/>
              </w:rPr>
              <w:t xml:space="preserve">商品房销售网签数据</w:t>
            </w:r>
          </w:p>
        </w:tc>
        <w:tc>
          <w:tcPr>
            <w:tcW w:w="1843" w:type="dxa"/>
            <w:vAlign w:val="center"/>
          </w:tcPr>
          <w:p>
            <w:pPr>
              <w:jc w:val="center"/>
              <w:rPr/>
            </w:pPr>
            <w:r>
              <w:rPr>
                <w:sz w:val="18"/>
                <w:szCs w:val="18"/>
              </w:rPr>
              <w:t xml:space="preserve">存量房契税纳税数据</w:t>
            </w:r>
          </w:p>
        </w:tc>
        <w:tc>
          <w:tcPr>
            <w:tcW w:w="1985" w:type="dxa"/>
            <w:vAlign w:val="center"/>
          </w:tcPr>
          <w:p>
            <w:pPr>
              <w:jc w:val="center"/>
              <w:rPr/>
            </w:pPr>
            <w:r>
              <w:rPr>
                <w:sz w:val="18"/>
                <w:szCs w:val="18"/>
              </w:rPr>
              <w:t xml:space="preserve">存量房契税纳税数据</w:t>
            </w:r>
          </w:p>
        </w:tc>
      </w:tr>
      <w:tr>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rPr/>
            </w:pPr>
            <w:r>
              <w:rPr>
                <w:sz w:val="18"/>
                <w:szCs w:val="18"/>
              </w:rPr>
              <w:t xml:space="preserve">网签房屋编号</w:t>
            </w:r>
          </w:p>
        </w:tc>
        <w:tc>
          <w:tcPr>
            <w:tcW w:w="1842" w:type="dxa"/>
            <w:vAlign w:val="center"/>
          </w:tcPr>
          <w:p>
            <w:pPr>
              <w:jc w:val="center"/>
              <w:rPr/>
            </w:pPr>
            <w:r>
              <w:rPr>
                <w:sz w:val="18"/>
                <w:szCs w:val="18"/>
              </w:rPr>
              <w:t xml:space="preserve">网签房屋编号</w:t>
            </w:r>
          </w:p>
        </w:tc>
        <w:tc>
          <w:tcPr>
            <w:tcW w:w="1843" w:type="dxa"/>
            <w:vAlign w:val="center"/>
          </w:tcPr>
          <w:p>
            <w:pPr>
              <w:jc w:val="center"/>
              <w:rPr/>
            </w:pPr>
            <w:r>
              <w:rPr>
                <w:sz w:val="18"/>
                <w:szCs w:val="18"/>
              </w:rPr>
              <w:t xml:space="preserve">税源编号</w:t>
            </w:r>
          </w:p>
        </w:tc>
        <w:tc>
          <w:tcPr>
            <w:tcW w:w="1985" w:type="dxa"/>
            <w:vAlign w:val="center"/>
          </w:tcPr>
          <w:p>
            <w:pPr>
              <w:jc w:val="center"/>
              <w:rPr/>
            </w:pPr>
            <w:r>
              <w:rPr>
                <w:sz w:val="18"/>
                <w:szCs w:val="18"/>
              </w:rPr>
              <w:t xml:space="preserve">税源编号</w:t>
            </w:r>
          </w:p>
        </w:tc>
      </w:tr>
      <w:tr>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rPr/>
            </w:pPr>
            <w:r>
              <w:rPr>
                <w:rFonts w:hint="eastAsia" w:ascii="宋体" w:hAnsi="宋体" w:cs="宋体"/>
              </w:rPr>
              <w:t xml:space="preserve">F32050920230005424</w:t>
            </w:r>
          </w:p>
        </w:tc>
        <w:tc>
          <w:tcPr>
            <w:tcW w:w="1842" w:type="dxa"/>
            <w:vAlign w:val="center"/>
          </w:tcPr>
          <w:p>
            <w:pPr>
              <w:jc w:val="center"/>
              <w:rPr/>
            </w:pPr>
            <w:r>
              <w:rPr>
                <w:rFonts w:hint="eastAsia" w:ascii="宋体" w:hAnsi="宋体" w:cs="宋体"/>
              </w:rPr>
              <w:t xml:space="preserve">F32050920230004646</w:t>
            </w:r>
          </w:p>
        </w:tc>
        <w:tc>
          <w:tcPr>
            <w:tcW w:w="1843" w:type="dxa"/>
            <w:vAlign w:val="center"/>
          </w:tcPr>
          <w:p>
            <w:pPr>
              <w:jc w:val="center"/>
              <w:rPr/>
            </w:pPr>
            <w:r>
              <w:rPr>
                <w:rFonts w:hint="eastAsia" w:ascii="宋体" w:hAnsi="宋体" w:cs="宋体"/>
              </w:rPr>
              <w:t xml:space="preserve">s202302100040</w:t>
            </w:r>
          </w:p>
        </w:tc>
        <w:tc>
          <w:tcPr>
            <w:tcW w:w="1985" w:type="dxa"/>
            <w:vAlign w:val="center"/>
          </w:tcPr>
          <w:p>
            <w:pPr>
              <w:jc w:val="center"/>
              <w:rPr/>
            </w:pPr>
            <w:r>
              <w:rPr>
                <w:rFonts w:hint="eastAsia" w:ascii="宋体" w:hAnsi="宋体" w:cs="宋体"/>
              </w:rPr>
              <w:t xml:space="preserve">s202302060174</w:t>
            </w:r>
          </w:p>
        </w:tc>
      </w:tr>
      <w:tr>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rPr/>
            </w:pPr>
            <w:r>
              <w:rPr>
                <w:rFonts w:hint="eastAsia" w:ascii="宋体" w:hAnsi="宋体" w:cs="宋体"/>
              </w:rPr>
              <w:t xml:space="preserve">砥定街勤幸路2号102</w:t>
            </w:r>
          </w:p>
        </w:tc>
        <w:tc>
          <w:tcPr>
            <w:tcW w:w="1842" w:type="dxa"/>
            <w:vAlign w:val="center"/>
          </w:tcPr>
          <w:p>
            <w:pPr>
              <w:jc w:val="center"/>
              <w:rPr/>
            </w:pPr>
            <w:r>
              <w:rPr>
                <w:rFonts w:hint="eastAsia" w:ascii="宋体" w:hAnsi="宋体" w:cs="宋体"/>
              </w:rPr>
              <w:t xml:space="preserve">明港路贯前街155号408</w:t>
            </w:r>
          </w:p>
        </w:tc>
        <w:tc>
          <w:tcPr>
            <w:tcW w:w="1843" w:type="dxa"/>
            <w:vAlign w:val="center"/>
          </w:tcPr>
          <w:p>
            <w:pPr>
              <w:jc w:val="center"/>
              <w:rPr/>
            </w:pPr>
            <w:r>
              <w:rPr>
                <w:rFonts w:hint="eastAsia" w:ascii="宋体" w:hAnsi="宋体" w:cs="宋体"/>
              </w:rPr>
              <w:t xml:space="preserve">望山路望湖路4幢404</w:t>
            </w:r>
          </w:p>
        </w:tc>
        <w:tc>
          <w:tcPr>
            <w:tcW w:w="1985" w:type="dxa"/>
            <w:vAlign w:val="center"/>
          </w:tcPr>
          <w:p>
            <w:pPr>
              <w:jc w:val="center"/>
              <w:rPr/>
            </w:pPr>
            <w:r>
              <w:rPr>
                <w:rFonts w:hint="eastAsia" w:ascii="宋体" w:hAnsi="宋体" w:cs="宋体"/>
              </w:rPr>
              <w:t xml:space="preserve">莘塔大道435号304</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砥定街勤幸路2号102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明港路贯前街155号408</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望山路望湖路4幢404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9"/>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莘塔大道435号304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20"/>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1"/>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9"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90"/>
      </w:tblGrid>
      <w:tr>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09"/>
      </w:tblGrid>
      <w:tr>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3"/>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8759"/>
      </w:tblGrid>
      <w:tr>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4"/>
                </v:shape>
              </w:pict>
            </w:r>
          </w:p>
        </w:tc>
      </w:tr>
      <w:tr>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rPr/>
            </w:pPr>
            <w:r>
              <w:pict>
                <v:shape id="_x0000_i0024" style="height:0;width:0" o:spid="_x0000_i0049" o:bordertopcolor="this" o:borderleftcolor="this" o:borderbottomcolor="this" o:borderrightcolor="this" type="#_x0000_t75">
                  <v:imagedata o:title="" r:id="rId25"/>
                </v:shape>
              </w:pict>
            </w:r>
          </w:p>
        </w:tc>
      </w:tr>
    </w:tbl>
    <w:p>
      <w:pPr>
        <w:spacing w:line="360" w:lineRule="auto"/>
        <w:jc w:val="both"/>
        <w:rPr>
          <w:rFonts w:ascii="仿宋_GB2312" w:hAnsi="华文仿宋" w:eastAsia="仿宋_GB2312"/>
          <w:bCs/>
          <w:sz w:val="28"/>
          <w:szCs w:val="28"/>
        </w:rPr>
      </w:pPr>
    </w:p>
    <w:sectPr>
      <w:footerReference w:type="default" r:id="rId26"/>
      <w:pgSz w:w="11906" w:h="16838" w:orient="portrait"/>
      <w:pgMar w:top="1440" w:right="1800" w:bottom="1276" w:left="1800" w:header="851" w:footer="545" w:gutter="0"/>
      <w:pgNumType w:start="1"/>
      <w:cols w:space="425" w:num="1">
        <w:col w:w="8306" w:space="425"/>
      </w:cols>
      <w:docGrid w:type="lines" w:linePitch="312"/>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黑体">
    <w:panose1 w:val="02010609060101010101"/>
    <w:charset w:val="86"/>
    <w:family w:val="modern"/>
    <w:pitch w:val="fixed"/>
    <w:sig w:usb0="800002BF" w:usb1="38CF7CFA" w:usb2="00000016" w:usb3="00000000" w:csb0="00040001" w:csb1="00000000"/>
  </w:font>
  <w:font w:name="楷体_GB2312">
    <w:panose1 w:val="00000000000000000000"/>
    <w:charset w:val="86"/>
    <w:family w:val="modern"/>
    <w:pitch w:val="default"/>
    <w:sig w:usb0="00000000" w:usb1="0000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华文中宋">
    <w:panose1 w:val="02010600040101010101"/>
    <w:charset w:val="86"/>
    <w:family w:val="auto"/>
    <w:pitch w:val="variable"/>
    <w:sig w:usb0="00000287" w:usb1="080F0000" w:usb2="00000010" w:usb3="00000000" w:csb0="0004009F" w:csb1="00000000"/>
  </w:font>
  <w:font w:name="楷体">
    <w:panose1 w:val="02010609060101010101"/>
    <w:charset w:val="86"/>
    <w:family w:val="modern"/>
    <w:pitch w:val="fixed"/>
    <w:sig w:usb0="800002BF" w:usb1="38CF7CFA"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variable"/>
    <w:sig w:usb0="00000001" w:usb1="080F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variable"/>
    <w:sig w:usb0="00000287" w:usb1="080F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rPr/>
    </w:pPr>
  </w:p>
  <w:p>
    <w:pPr>
      <w:pStyle w:val="Footer"/>
      <w:rP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rP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200"/>
  <w:bordersDoNotSurroundFooter/>
  <w:bordersDoNotSurroundHeader/>
  <w:proofState w:spelling="clean"/>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decimalSymbol w:val="."/>
  <w:listSeparator w:val=","/>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0"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semiHidden="1" w:uiPriority="39" w:unhideWhenUsed="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uiPriority="0" w:qFormat="1"/>
    <w:lsdException w:name="footnote text" w:semiHidden="1" w:unhideWhenUsed="1"/>
    <w:lsdException w:name="annotation text" w:unhideWhenUsed="1" w:qFormat="1"/>
    <w:lsdException w:name="header" w:uiPriority="0" w:unhideWhenUsed="1" w:qFormat="1"/>
    <w:lsdException w:name="footer" w:unhideWhenUsed="1"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Body Text 2" w:semiHidden="1" w:unhideWhenUsed="1"/>
    <w:lsdException w:name="Body Text 3" w:unhideWhenUsed="1" w:qFormat="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Ind w:w="0" w:type="dxa"/>
      <w:tblCellMar>
        <w:top w:w="0" w:type="dxa"/>
        <w:left w:w="108" w:type="dxa"/>
        <w:bottom w:w="0" w:type="dxa"/>
        <w:right w:w="108" w:type="dxa"/>
      </w:tblCellMar>
    </w:tblPr>
  </w:style>
  <w:style w:type="numbering" w:styleId="NoList">
    <w:name w:val="No List"/>
    <w:uiPriority w:val="99"/>
    <w:semiHidden/>
    <w:unhideWhenUsed/>
    <w:r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png" /><Relationship Id="rId21" Type="http://schemas.openxmlformats.org/officeDocument/2006/relationships/image" Target="media/image17.jpeg" /><Relationship Id="rId22" Type="http://schemas.openxmlformats.org/officeDocument/2006/relationships/image" Target="media/image18.jpeg" /><Relationship Id="rId23" Type="http://schemas.openxmlformats.org/officeDocument/2006/relationships/image" Target="media/image19.jpeg" /><Relationship Id="rId24" Type="http://schemas.openxmlformats.org/officeDocument/2006/relationships/image" Target="media/image20.png" /><Relationship Id="rId25" Type="http://schemas.openxmlformats.org/officeDocument/2006/relationships/image" Target="media/image21.jpeg" /><Relationship Id="rId26" Type="http://schemas.openxmlformats.org/officeDocument/2006/relationships/footer" Target="footer2.xml" /><Relationship Id="rId27" Type="http://schemas.openxmlformats.org/officeDocument/2006/relationships/theme" Target="theme/theme1.xml" /><Relationship Id="rId28" Type="http://schemas.openxmlformats.org/officeDocument/2006/relationships/styles" Target="styles.xml" /><Relationship Id="rId29" Type="http://schemas.openxmlformats.org/officeDocument/2006/relationships/webSettings" Target="webSettings.xml" /><Relationship Id="rId3" Type="http://schemas.openxmlformats.org/officeDocument/2006/relationships/footer" Target="footer1.xml" /><Relationship Id="rId30" Type="http://schemas.openxmlformats.org/officeDocument/2006/relationships/numbering" Target="numbering.xml" /><Relationship Id="rId31" Type="http://schemas.openxmlformats.org/officeDocument/2006/relationships/fontTable" Target="fontTable.xml" /><Relationship Id="rId32"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schemaRef ds:uri="http://schemas.openxmlformats.org/officeDocument/2006/bibliography"/>
  </ds:schemaRefs>
</ds:datastoreItem>
</file>

<file path=docProps/app.xml><?xml version="1.0" encoding="utf-8"?>
<Properties xmlns:vt="http://schemas.openxmlformats.org/officeDocument/2006/docPropsVTypes" xmlns="http://schemas.openxmlformats.org/officeDocument/2006/extended-properties">
  <Template>Normal.dotm</Template>
  <TotalTime>24</TotalTime>
  <Pages>33</Pages>
  <Words>3183</Words>
  <Characters>18149</Characters>
  <Application>Microsoft Office Word</Application>
  <DocSecurity>0</DocSecurity>
  <Lines>151</Lines>
  <Paragraphs>42</Paragraphs>
  <Company>Www.RePaiK.Com</Company>
  <CharactersWithSpaces>21290</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孙 钰科</cp:lastModifiedBy>
  <cp:revision>3</cp:revision>
  <cp:lastPrinted>2020-03-31T02:20:00Z</cp:lastPrinted>
  <dcterms:created xsi:type="dcterms:W3CDTF">2023-05-06T01:44:00Z</dcterms:created>
  <dcterms:modified xsi:type="dcterms:W3CDTF">2023-07-03T02:30:00Z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