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苏拓普评估字(2024)吴江第00102号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嘉鸿花园小高层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估价对象位于苏州市吴江区区域范围内的嘉鸿花园住宅小区小高层存量房。该小区内的物业类型包括：</w:t>
      </w:r>
      <w:r>
        <w:rPr>
          <w:rFonts w:ascii="宋体"/>
          <w:sz w:val="24"/>
        </w:rPr>
        <w:t xml:space="preserve">小高层、高层、叠加</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月修订版），结合估价人员现场查勘，选取嘉鸿花园</w:t>
      </w:r>
      <w:r>
        <w:rPr>
          <w:rFonts w:ascii="宋体"/>
          <w:sz w:val="24"/>
        </w:rPr>
        <w:t xml:space="preserve">3幢102</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15</w:t>
      </w:r>
      <w:r>
        <w:rPr>
          <w:rFonts w:hint="eastAsia" w:ascii="宋体"/>
          <w:sz w:val="24"/>
        </w:rPr>
        <w:t xml:space="preserve">层，建筑面积</w:t>
      </w:r>
      <w:r>
        <w:rPr>
          <w:rFonts w:ascii="宋体"/>
          <w:sz w:val="24"/>
        </w:rPr>
        <w:t xml:space="preserve">133.56</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2007</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2074年06月29日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2024年03月05日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2024年03月05日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玖仟肆佰陆拾柒元整</w:t>
      </w:r>
      <w:r>
        <w:rPr>
          <w:rFonts w:hint="eastAsia" w:ascii="宋体" w:hAnsi="宋体"/>
          <w:b/>
          <w:bCs/>
          <w:sz w:val="24"/>
        </w:rPr>
        <w:t xml:space="preserve">（RMB</w:t>
      </w:r>
      <w:r>
        <w:rPr>
          <w:rFonts w:ascii="宋体" w:hAnsi="宋体"/>
          <w:b/>
          <w:bCs/>
          <w:sz w:val="24"/>
        </w:rPr>
        <w:t xml:space="preserve"> 9467</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7" style="height:20pt;width:80pt" o:spid="_x0000_i0021"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19" style="height:20pt;width:80pt" o:spid="_x0000_i0022"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5.本报告作为整体使用时有效。若房地产市场无重大波动，本估价报告自出具日起一年内有效，从2024年03月20日至</w:t>
      </w:r>
      <w:r>
        <w:rPr>
          <w:rFonts w:ascii="宋体" w:hAnsi="宋体"/>
          <w:sz w:val="24"/>
        </w:rPr>
        <w:t xml:space="preserve">2025年03月19日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嘉鸿花园</w:t>
      </w:r>
      <w:r>
        <w:rPr>
          <w:rFonts w:ascii="宋体" w:hAnsi="宋体"/>
          <w:sz w:val="24"/>
        </w:rPr>
        <w:t xml:space="preserve">3幢102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交通路西侧</w:t>
      </w:r>
      <w:r>
        <w:rPr>
          <w:rFonts w:hint="eastAsia" w:hAnsi="宋体"/>
          <w:sz w:val="24"/>
        </w:rPr>
        <w:t xml:space="preserve">的“</w:t>
      </w:r>
      <w:r>
        <w:rPr>
          <w:rFonts w:hint="eastAsia" w:hAnsi="宋体"/>
          <w:sz w:val="24"/>
        </w:rPr>
        <w:t xml:space="preserve">嘉鸿花园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交通路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中山北路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工农路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同仁嘉园</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133.56</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交通路西侧</w:t>
      </w:r>
      <w:r>
        <w:rPr>
          <w:rFonts w:hint="eastAsia" w:hAnsi="宋体"/>
          <w:sz w:val="24"/>
        </w:rPr>
        <w:t xml:space="preserve">的“嘉鸿花园”住宅区内。该小区内的物业类型包括：</w:t>
      </w:r>
      <w:r>
        <w:rPr>
          <w:rFonts w:hAnsi="宋体"/>
          <w:sz w:val="24"/>
        </w:rPr>
        <w:t xml:space="preserve">小高层、高层、叠加</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3"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24"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嘉鸿花园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25"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嘉鸿花园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由于嘉鸿花园市场交易不活跃，片区内可选案例较少，因此选择的案例B，距离在3公里以外。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嘉鸿花园住宅2024年3月挂牌均价11523元/平方米，较年初持平。待评估二手房住宅近7个月（2023年09月-2024年03月）挂牌均价波动幅度较小，价格维持在11523-13813元/平方米之间。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均价说明：嘉鸿花园小区物业类型包括：小高层、高层、叠加,房源均价为:11523元/平方米，包含毛坯价值以及附带装修价值。</w:t>
      </w:r>
    </w:p>
    <w:p>
      <w:pPr>
        <w:pStyle w:val="PlainText"/>
        <w:spacing w:line="540" w:lineRule="atLeast"/>
        <w:jc w:val="center"/>
        <w:rPr/>
      </w:pPr>
      <w:r>
        <w:pict>
          <v:shape id="_x0000_i0009" style="height:209pt;width:312pt" o:spid="_x0000_i0026"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该房屋为15层住宅楼的第1层，建于2007年，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133.56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2074年06月29日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2024年03月05日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玖仟肆佰陆拾柒元整</w:t>
      </w:r>
      <w:r>
        <w:rPr>
          <w:rFonts w:hint="eastAsia" w:ascii="宋体" w:hAnsi="宋体"/>
          <w:b/>
          <w:bCs/>
          <w:sz w:val="24"/>
        </w:rPr>
        <w:t xml:space="preserve">（RMB </w:t>
      </w:r>
      <w:r>
        <w:rPr>
          <w:rFonts w:ascii="宋体" w:hAnsi="宋体"/>
          <w:b/>
          <w:bCs/>
          <w:sz w:val="24"/>
        </w:rPr>
        <w:t xml:space="preserve">9467</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126.44</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9467</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8"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0"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本次实地查勘期为2024年03月05日，并于当日完成现场查勘。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2024年03月05日</w:t>
      </w:r>
      <w:r>
        <w:rPr>
          <w:rFonts w:hint="eastAsia" w:ascii="宋体"/>
          <w:sz w:val="24"/>
        </w:rPr>
        <w:t xml:space="preserve">至2024年03月20日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嘉鸿花园</w:t>
      </w:r>
      <w:r>
        <w:rPr>
          <w:rFonts w:hint="eastAsia" w:hAnsi="宋体"/>
          <w:sz w:val="24"/>
        </w:rPr>
        <w:t xml:space="preserve">”住宅区内的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位于工农路东侧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工农路东侧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附近有733路、705路、709路、712路、733路等多条公交线路</w:t>
      </w:r>
      <w:r>
        <w:rPr>
          <w:rFonts w:hint="eastAsia" w:hAnsi="宋体"/>
          <w:sz w:val="24"/>
        </w:rPr>
        <w:t xml:space="preserve">，</w:t>
      </w:r>
      <w:r>
        <w:rPr>
          <w:rFonts w:hAnsi="宋体"/>
          <w:sz w:val="24"/>
        </w:rPr>
        <w:t xml:space="preserve">至公交站点的距离约为300米，公交班次平均隔10分钟有一辆汽车通过。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 </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新城北农贸市场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吴江区北门幼儿园</w:t>
      </w:r>
      <w:r>
        <w:rPr>
          <w:rFonts w:hint="eastAsia" w:ascii="宋体" w:hAnsi="宋体" w:eastAsia="宋体" w:asciiTheme="minorEastAsia" w:hAnsiTheme="minorEastAsia" w:eastAsiaTheme="minorEastAsia"/>
          <w:sz w:val="24"/>
        </w:rPr>
        <w:t xml:space="preserve">、</w:t>
      </w:r>
      <w:r>
        <w:rPr>
          <w:rFonts w:hAnsi="宋体"/>
          <w:sz w:val="24"/>
        </w:rPr>
        <w:t xml:space="preserve">北门小学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2074年06月29日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交通路</w:t>
      </w:r>
      <w:r>
        <w:rPr>
          <w:rFonts w:hint="eastAsia" w:ascii="宋体" w:hAnsi="宋体"/>
          <w:sz w:val="24"/>
        </w:rPr>
        <w:t xml:space="preserve">，南至</w:t>
      </w:r>
      <w:r>
        <w:rPr>
          <w:rFonts w:ascii="宋体" w:hAnsi="宋体"/>
          <w:sz w:val="24"/>
        </w:rPr>
        <w:t xml:space="preserve">中山北路</w:t>
      </w:r>
      <w:r>
        <w:rPr>
          <w:rFonts w:hint="eastAsia" w:ascii="宋体" w:hAnsi="宋体"/>
          <w:sz w:val="24"/>
        </w:rPr>
        <w:t xml:space="preserve">，西至</w:t>
      </w:r>
      <w:r>
        <w:rPr>
          <w:rFonts w:ascii="宋体" w:hAnsi="宋体"/>
          <w:sz w:val="24"/>
        </w:rPr>
        <w:t xml:space="preserve">工农路</w:t>
      </w:r>
      <w:r>
        <w:rPr>
          <w:rFonts w:hint="eastAsia" w:ascii="宋体" w:hAnsi="宋体"/>
          <w:sz w:val="24"/>
        </w:rPr>
        <w:t xml:space="preserve">，北至</w:t>
      </w:r>
      <w:r>
        <w:rPr>
          <w:rFonts w:ascii="宋体" w:hAnsi="宋体"/>
          <w:sz w:val="24"/>
        </w:rPr>
        <w:t xml:space="preserve">同仁嘉园</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估价对象为坐落于苏州市吴江区嘉鸿花园</w:t>
      </w:r>
      <w:r>
        <w:t xml:space="preserve"> </w:t>
      </w:r>
      <w:r>
        <w:rPr>
          <w:rFonts w:ascii="宋体" w:hAnsi="宋体"/>
          <w:kern w:val="2"/>
          <w:sz w:val="24"/>
        </w:rPr>
        <w:t xml:space="preserve">3幢102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小高层</w:t>
      </w:r>
      <w:r>
        <w:rPr>
          <w:rFonts w:hint="eastAsia" w:hAnsi="宋体"/>
          <w:sz w:val="24"/>
        </w:rPr>
        <w:t xml:space="preserve">建筑，建筑面积为</w:t>
      </w:r>
      <w:r>
        <w:rPr>
          <w:rFonts w:hAnsi="宋体"/>
          <w:sz w:val="24"/>
        </w:rPr>
        <w:t xml:space="preserve">133.56</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15</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三室二厅两卫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2007</w:t>
      </w:r>
      <w:r>
        <w:rPr>
          <w:rFonts w:hint="eastAsia" w:hAnsi="宋体"/>
          <w:sz w:val="24"/>
        </w:rPr>
        <w:t xml:space="preserve">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嘉鸿花园住宅2024年3月挂牌均价11523元/平方米，较年初持平。待评估二手房住宅近7个月（2023年09月-2024年03月）挂牌均价波动幅度较小，价格维持在11523-13813元/平方米之间。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29"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0"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苏州市吴江区嘉鸿花园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F32050920230029124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F32050920230041664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s202309200241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s202310230288</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吴江区松陵镇嘉鸿花园3幢102小高层住宅标准房基准价格评估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山湖鸿辉苑3幢1001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育龙豪苑17幢302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港龙大厦1幢504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西湖花苑东区21幢</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133.56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106.56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132.33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3/12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2024年03月05日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10884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9558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9824</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指数，吴江区2023年03月至2024年02月住宅月度价格指数表为：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2024年02月05日</w:t>
            </w:r>
          </w:p>
        </w:tc>
        <w:tc>
          <w:tcPr>
            <w:tcW w:w="778"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2023年10月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10884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9799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9558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9824</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1990</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1990/1990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1990/2046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0.973</w:t>
            </w:r>
          </w:p>
        </w:tc>
        <w:tc>
          <w:tcPr>
            <w:tcW w:w="779" w:type="pct"/>
            <w:shd w:val="clear" w:color="auto" w:fill="FFFFFF"/>
            <w:vAlign w:val="center"/>
          </w:tcPr>
          <w:p>
            <w:pPr>
              <w:jc w:val="center"/>
              <w:rPr/>
            </w:pPr>
            <w:r>
              <w:rPr>
                <w:rFonts w:hint="eastAsia" w:ascii="宋体" w:hAnsi="宋体" w:cs="宋体"/>
              </w:rPr>
              <w:t xml:space="preserve">0.973</w:t>
            </w:r>
          </w:p>
        </w:tc>
        <w:tc>
          <w:tcPr>
            <w:tcW w:w="779" w:type="pct"/>
            <w:shd w:val="clear" w:color="auto" w:fill="FFFFFF"/>
            <w:vAlign w:val="center"/>
          </w:tcPr>
          <w:p>
            <w:pPr>
              <w:jc w:val="center"/>
              <w:rPr/>
            </w:pPr>
            <w:r>
              <w:rPr>
                <w:rFonts w:hint="eastAsia" w:ascii="宋体" w:hAnsi="宋体" w:cs="宋体"/>
              </w:rPr>
              <w:t xml:space="preserve">0.973</w:t>
            </w:r>
          </w:p>
        </w:tc>
        <w:tc>
          <w:tcPr>
            <w:tcW w:w="779" w:type="pct"/>
            <w:shd w:val="clear" w:color="auto" w:fill="FFFFFF"/>
            <w:vAlign w:val="center"/>
          </w:tcPr>
          <w:p>
            <w:pPr>
              <w:jc w:val="center"/>
              <w:rPr/>
            </w:pPr>
            <w:r>
              <w:rPr>
                <w:rFonts w:hint="eastAsia" w:ascii="宋体" w:hAnsi="宋体" w:cs="宋体"/>
              </w:rPr>
              <w:t xml:space="preserve">0.973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备注：在价值时点2024年03月05日</w:t>
      </w:r>
      <w:r>
        <w:rPr>
          <w:rFonts w:hint="eastAsia" w:ascii="宋体" w:hAnsi="宋体" w:cs="宋体"/>
          <w:sz w:val="24"/>
          <w:szCs w:val="24"/>
        </w:rPr>
        <w:t xml:space="preserve">，2024年03月份价格指数尚未公布，本次估价采用2024年02月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1" o:bordertopcolor="this" o:borderleftcolor="this" o:borderbottomcolor="this" o:borderrightcolor="this" o:oleicon="f" o:ole="" type="#_x0000_t75">
            <v:imagedata o:title="" r:id="rId12"/>
            <o:lock v:ext="edit" aspectratio="t"/>
          </v:shape>
          <o:OLEObject Type="Embed" ProgID="Equation.3" ShapeID="_x0000_i0003" DrawAspect="Content" ObjectID="_119864203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吴江区松陵镇嘉鸿花园3幢102小高层住宅标准房基准价格评估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山湖鸿辉苑3幢1001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育龙豪苑17幢302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港龙大厦1幢504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西湖花苑东区21幢</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133.56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106.56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98.99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156.93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132.33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111.81</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9824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9372</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5"/>
        <w:gridCol w:w="1572"/>
        <w:gridCol w:w="1572"/>
        <w:gridCol w:w="1572"/>
        <w:gridCol w:w="1571"/>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10884</w:t>
            </w:r>
          </w:p>
        </w:tc>
        <w:tc>
          <w:tcPr>
            <w:tcW w:w="922" w:type="pct"/>
            <w:shd w:val="clear" w:color="auto" w:fill="auto"/>
            <w:vAlign w:val="center"/>
          </w:tcPr>
          <w:p>
            <w:pPr>
              <w:jc w:val="center"/>
              <w:rPr>
                <w:rFonts w:ascii="宋体" w:hAnsi="宋体" w:cs="宋体"/>
              </w:rPr>
            </w:pPr>
            <w:r>
              <w:rPr>
                <w:rFonts w:hint="eastAsia" w:ascii="宋体" w:hAnsi="宋体" w:cs="宋体"/>
              </w:rPr>
              <w:t xml:space="preserve">9799</w:t>
            </w:r>
          </w:p>
        </w:tc>
        <w:tc>
          <w:tcPr>
            <w:tcW w:w="922" w:type="pct"/>
            <w:shd w:val="clear" w:color="auto" w:fill="auto"/>
            <w:vAlign w:val="center"/>
          </w:tcPr>
          <w:p>
            <w:pPr>
              <w:jc w:val="center"/>
              <w:rPr>
                <w:rFonts w:ascii="宋体" w:hAnsi="宋体" w:cs="宋体"/>
              </w:rPr>
            </w:pPr>
            <w:r>
              <w:rPr>
                <w:rFonts w:hint="eastAsia" w:ascii="宋体" w:hAnsi="宋体" w:cs="宋体"/>
              </w:rPr>
              <w:t xml:space="preserve">9558</w:t>
            </w:r>
          </w:p>
        </w:tc>
        <w:tc>
          <w:tcPr>
            <w:tcW w:w="922" w:type="pct"/>
            <w:shd w:val="clear" w:color="auto" w:fill="auto"/>
            <w:vAlign w:val="center"/>
          </w:tcPr>
          <w:p>
            <w:pPr>
              <w:jc w:val="center"/>
              <w:rPr>
                <w:rFonts w:ascii="宋体" w:hAnsi="宋体" w:cs="宋体"/>
              </w:rPr>
            </w:pPr>
            <w:r>
              <w:rPr>
                <w:rFonts w:hint="eastAsia" w:ascii="宋体" w:hAnsi="宋体" w:cs="宋体"/>
              </w:rPr>
              <w:t xml:space="preserve">9824</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109.08/115.13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109.08/111.81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0.9084</w:t>
            </w:r>
          </w:p>
        </w:tc>
        <w:tc>
          <w:tcPr>
            <w:tcW w:w="922" w:type="pct"/>
            <w:shd w:val="clear" w:color="auto" w:fill="auto"/>
            <w:vAlign w:val="center"/>
          </w:tcPr>
          <w:p>
            <w:pPr>
              <w:jc w:val="center"/>
              <w:rPr>
                <w:rFonts w:ascii="宋体" w:hAnsi="宋体" w:cs="宋体"/>
              </w:rPr>
            </w:pPr>
            <w:r>
              <w:rPr>
                <w:rFonts w:hint="eastAsia" w:ascii="宋体" w:hAnsi="宋体" w:cs="宋体"/>
              </w:rPr>
              <w:t xml:space="preserve">0.9731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0.9493</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9887</w:t>
            </w:r>
          </w:p>
        </w:tc>
        <w:tc>
          <w:tcPr>
            <w:tcW w:w="922" w:type="pct"/>
            <w:shd w:val="clear" w:color="auto" w:fill="auto"/>
            <w:vAlign w:val="center"/>
          </w:tcPr>
          <w:p>
            <w:pPr>
              <w:jc w:val="center"/>
              <w:rPr>
                <w:rFonts w:ascii="宋体" w:hAnsi="宋体" w:cs="宋体"/>
              </w:rPr>
            </w:pPr>
            <w:r>
              <w:rPr>
                <w:rFonts w:hint="eastAsia" w:ascii="宋体" w:hAnsi="宋体" w:cs="宋体"/>
              </w:rPr>
              <w:t xml:space="preserve">9535</w:t>
            </w:r>
          </w:p>
        </w:tc>
        <w:tc>
          <w:tcPr>
            <w:tcW w:w="922" w:type="pct"/>
            <w:shd w:val="clear" w:color="auto" w:fill="auto"/>
            <w:vAlign w:val="center"/>
          </w:tcPr>
          <w:p>
            <w:pPr>
              <w:jc w:val="center"/>
              <w:rPr>
                <w:rFonts w:ascii="宋体" w:hAnsi="宋体" w:cs="宋体"/>
              </w:rPr>
            </w:pPr>
            <w:r>
              <w:rPr>
                <w:rFonts w:hint="eastAsia" w:ascii="宋体" w:hAnsi="宋体" w:cs="宋体"/>
              </w:rPr>
              <w:t xml:space="preserve">9073</w:t>
            </w:r>
          </w:p>
        </w:tc>
        <w:tc>
          <w:tcPr>
            <w:tcW w:w="922" w:type="pct"/>
            <w:shd w:val="clear" w:color="auto" w:fill="auto"/>
            <w:vAlign w:val="center"/>
          </w:tcPr>
          <w:p>
            <w:pPr>
              <w:jc w:val="center"/>
              <w:rPr>
                <w:rFonts w:ascii="宋体" w:hAnsi="宋体" w:cs="宋体"/>
              </w:rPr>
            </w:pPr>
            <w:r>
              <w:rPr>
                <w:rFonts w:hint="eastAsia" w:ascii="宋体" w:hAnsi="宋体" w:cs="宋体"/>
              </w:rPr>
              <w:t xml:space="preserve">9372</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9887</w:t>
            </w:r>
          </w:p>
        </w:tc>
        <w:tc>
          <w:tcPr>
            <w:tcW w:w="922" w:type="pct"/>
            <w:shd w:val="clear" w:color="auto" w:fill="auto"/>
            <w:vAlign w:val="center"/>
          </w:tcPr>
          <w:p>
            <w:pPr>
              <w:jc w:val="center"/>
              <w:rPr>
                <w:rFonts w:ascii="宋体" w:hAnsi="宋体" w:cs="宋体"/>
              </w:rPr>
            </w:pPr>
            <w:r>
              <w:rPr>
                <w:rFonts w:hint="eastAsia" w:ascii="宋体" w:hAnsi="宋体" w:cs="宋体"/>
              </w:rPr>
              <w:t xml:space="preserve">9535</w:t>
            </w:r>
          </w:p>
        </w:tc>
        <w:tc>
          <w:tcPr>
            <w:tcW w:w="922" w:type="pct"/>
            <w:shd w:val="clear" w:color="auto" w:fill="auto"/>
            <w:vAlign w:val="center"/>
          </w:tcPr>
          <w:p>
            <w:pPr>
              <w:jc w:val="center"/>
              <w:rPr>
                <w:rFonts w:ascii="宋体" w:hAnsi="宋体" w:cs="宋体"/>
              </w:rPr>
            </w:pPr>
            <w:r>
              <w:rPr>
                <w:rFonts w:hint="eastAsia" w:ascii="宋体" w:hAnsi="宋体" w:cs="宋体"/>
              </w:rPr>
              <w:t xml:space="preserve">9073</w:t>
            </w:r>
          </w:p>
        </w:tc>
        <w:tc>
          <w:tcPr>
            <w:tcW w:w="922" w:type="pct"/>
            <w:shd w:val="clear" w:color="auto" w:fill="auto"/>
            <w:vAlign w:val="center"/>
          </w:tcPr>
          <w:p>
            <w:pPr>
              <w:jc w:val="center"/>
              <w:rPr>
                <w:rFonts w:ascii="宋体" w:hAnsi="宋体" w:cs="宋体"/>
              </w:rPr>
            </w:pPr>
            <w:r>
              <w:rPr>
                <w:rFonts w:hint="eastAsia" w:ascii="宋体" w:hAnsi="宋体" w:cs="宋体"/>
              </w:rPr>
              <w:t xml:space="preserve">9372</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9467</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F32050920230029124</w:t>
            </w:r>
          </w:p>
        </w:tc>
        <w:tc>
          <w:tcPr>
            <w:tcW w:w="1842" w:type="dxa"/>
            <w:vAlign w:val="center"/>
          </w:tcPr>
          <w:p>
            <w:pPr>
              <w:jc w:val="center"/>
              <w:rPr/>
            </w:pPr>
            <w:r>
              <w:rPr>
                <w:rFonts w:hint="eastAsia" w:ascii="宋体" w:hAnsi="宋体" w:cs="宋体"/>
              </w:rPr>
              <w:t xml:space="preserve">F32050920230041664</w:t>
            </w:r>
          </w:p>
        </w:tc>
        <w:tc>
          <w:tcPr>
            <w:tcW w:w="1843" w:type="dxa"/>
            <w:vAlign w:val="center"/>
          </w:tcPr>
          <w:p>
            <w:pPr>
              <w:jc w:val="center"/>
              <w:rPr/>
            </w:pPr>
            <w:r>
              <w:rPr>
                <w:rFonts w:hint="eastAsia" w:ascii="宋体" w:hAnsi="宋体" w:cs="宋体"/>
              </w:rPr>
              <w:t xml:space="preserve">s202309200241</w:t>
            </w:r>
          </w:p>
        </w:tc>
        <w:tc>
          <w:tcPr>
            <w:tcW w:w="1985" w:type="dxa"/>
            <w:vAlign w:val="center"/>
          </w:tcPr>
          <w:p>
            <w:pPr>
              <w:jc w:val="center"/>
              <w:rPr/>
            </w:pPr>
            <w:r>
              <w:rPr>
                <w:rFonts w:hint="eastAsia" w:ascii="宋体" w:hAnsi="宋体" w:cs="宋体"/>
              </w:rPr>
              <w:t xml:space="preserve">s202310230288</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山湖鸿辉苑3幢1001</w:t>
            </w:r>
          </w:p>
        </w:tc>
        <w:tc>
          <w:tcPr>
            <w:tcW w:w="1842" w:type="dxa"/>
            <w:vAlign w:val="center"/>
          </w:tcPr>
          <w:p>
            <w:pPr>
              <w:jc w:val="center"/>
              <w:rPr/>
            </w:pPr>
            <w:r>
              <w:rPr>
                <w:rFonts w:hint="eastAsia" w:ascii="宋体" w:hAnsi="宋体" w:cs="宋体"/>
              </w:rPr>
              <w:t xml:space="preserve">育龙豪苑17幢302</w:t>
            </w:r>
          </w:p>
        </w:tc>
        <w:tc>
          <w:tcPr>
            <w:tcW w:w="1843" w:type="dxa"/>
            <w:vAlign w:val="center"/>
          </w:tcPr>
          <w:p>
            <w:pPr>
              <w:jc w:val="center"/>
              <w:rPr/>
            </w:pPr>
            <w:r>
              <w:rPr>
                <w:rFonts w:hint="eastAsia" w:ascii="宋体" w:hAnsi="宋体" w:cs="宋体"/>
              </w:rPr>
              <w:t xml:space="preserve">港龙大厦1幢504</w:t>
            </w:r>
          </w:p>
        </w:tc>
        <w:tc>
          <w:tcPr>
            <w:tcW w:w="1985" w:type="dxa"/>
            <w:vAlign w:val="center"/>
          </w:tcPr>
          <w:p>
            <w:pPr>
              <w:jc w:val="center"/>
              <w:rPr/>
            </w:pPr>
            <w:r>
              <w:rPr>
                <w:rFonts w:hint="eastAsia" w:ascii="宋体" w:hAnsi="宋体" w:cs="宋体"/>
              </w:rPr>
              <w:t xml:space="preserve">西湖花苑东区21幢</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山湖鸿辉苑3幢1001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3"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育龙豪苑17幢302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3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35"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港龙大厦1幢504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36"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37"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西湖花苑东区21幢</w:t>
      </w:r>
      <w:r>
        <w:rPr>
          <w:rFonts w:hint="eastAsia" w:ascii="宋体" w:hAnsi="宋体"/>
          <w:sz w:val="21"/>
          <w:szCs w:val="21"/>
        </w:rPr>
        <w:t xml:space="preserve">）</w:t>
      </w:r>
    </w:p>
    <w:sectPr>
      <w:pgSz w:w="11906" w:h="16838" w:orient="portrait"/>
      <w:pgMar w:top="1440" w:right="1800" w:bottom="1440" w:left="1800" w:header="720" w:footer="720" w:gutter="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theme" Target="theme/theme1.xml" /><Relationship Id="rId21" Type="http://schemas.openxmlformats.org/officeDocument/2006/relationships/styles" Target="styles.xml" /><Relationship Id="rId22" Type="http://schemas.openxmlformats.org/officeDocument/2006/relationships/webSettings" Target="webSettings.xml" /><Relationship Id="rId23" Type="http://schemas.openxmlformats.org/officeDocument/2006/relationships/numbering" Target="numbering.xml" /><Relationship Id="rId24" Type="http://schemas.openxmlformats.org/officeDocument/2006/relationships/fontTable" Target="fontTable.xml" /><Relationship Id="rId25" Type="http://schemas.openxmlformats.org/officeDocument/2006/relationships/settings" Target="settings.xml" /><Relationship Id="rId3" Type="http://schemas.openxmlformats.org/officeDocument/2006/relationships/footer" Target="footer1.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