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苏拓普评估字(2024)吴江第02005号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吴越尚院电梯多层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估价对象位于苏州市吴江区区域范围内的吴越尚院住宅小区电梯多层存量房。该小区内的物业类型包括：</w:t>
      </w:r>
      <w:r>
        <w:rPr>
          <w:rFonts w:ascii="宋体"/>
          <w:sz w:val="24"/>
        </w:rPr>
        <w:t xml:space="preserve">普通多层、电梯多层、小高层、高层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月修订版），结合估价人员现场查勘，选取吴越尚院</w:t>
      </w:r>
      <w:r>
        <w:rPr>
          <w:rFonts w:ascii="宋体"/>
          <w:sz w:val="24"/>
        </w:rPr>
        <w:t xml:space="preserve">30幢102室</w:t>
      </w:r>
      <w:r>
        <w:rPr>
          <w:rFonts w:hint="eastAsia" w:ascii="宋体"/>
          <w:sz w:val="24"/>
        </w:rPr>
        <w:t xml:space="preserve">为该小区</w:t>
      </w:r>
      <w:r>
        <w:rPr>
          <w:rFonts w:ascii="宋体"/>
          <w:sz w:val="24"/>
        </w:rPr>
        <w:t xml:space="preserve">钢混结构</w:t>
      </w:r>
      <w:r>
        <w:rPr>
          <w:rFonts w:hint="eastAsia" w:ascii="宋体"/>
          <w:sz w:val="24"/>
        </w:rPr>
        <w:t xml:space="preserve">电梯多层的标准样本房，所在楼层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119.48</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2010</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2076年10月24日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2024年04月26日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壹万叁仟玖佰柒拾肆元整</w:t>
      </w:r>
      <w:r>
        <w:rPr>
          <w:rFonts w:hint="eastAsia" w:ascii="宋体" w:hAnsi="宋体"/>
          <w:b/>
          <w:bCs/>
          <w:sz w:val="24"/>
        </w:rPr>
        <w:t xml:space="preserve">（RMB</w:t>
      </w:r>
      <w:r>
        <w:rPr>
          <w:rFonts w:ascii="宋体" w:hAnsi="宋体"/>
          <w:b/>
          <w:bCs/>
          <w:sz w:val="24"/>
        </w:rPr>
        <w:t xml:space="preserve"> 13974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2024年04月30日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5.本报告作为整体使用时有效。若房地产市场无重大波动，本估价报告自出具日起一年内有效，从2024年04月30日至</w:t>
      </w:r>
      <w:r>
        <w:rPr>
          <w:rFonts w:ascii="宋体" w:hAnsi="宋体"/>
          <w:sz w:val="24"/>
        </w:rPr>
        <w:t xml:space="preserve">2025年04月29日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吴越尚院</w:t>
      </w:r>
      <w:r>
        <w:rPr>
          <w:rFonts w:ascii="宋体" w:hAnsi="宋体"/>
          <w:sz w:val="24"/>
        </w:rPr>
        <w:t xml:space="preserve">30幢102室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梅石路西侧</w:t>
      </w:r>
      <w:r>
        <w:rPr>
          <w:rFonts w:hint="eastAsia" w:hAnsi="宋体"/>
          <w:sz w:val="24"/>
        </w:rPr>
        <w:t xml:space="preserve">的“</w:t>
      </w:r>
      <w:r>
        <w:rPr>
          <w:rFonts w:hint="eastAsia" w:hAnsi="宋体"/>
          <w:sz w:val="24"/>
        </w:rPr>
        <w:t xml:space="preserve">吴越尚院</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梅石路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江兴西路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河道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河道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119.48</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梅石路西侧</w:t>
      </w:r>
      <w:r>
        <w:rPr>
          <w:rFonts w:hint="eastAsia" w:hAnsi="宋体"/>
          <w:sz w:val="24"/>
        </w:rPr>
        <w:t xml:space="preserve">的“吴越尚院”住宅区内。该小区内的物业类型包括：</w:t>
      </w:r>
      <w:r>
        <w:rPr>
          <w:rFonts w:hAnsi="宋体"/>
          <w:sz w:val="24"/>
        </w:rPr>
        <w:t xml:space="preserve">普通多层、电梯多层、小高层、高层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吴越尚院</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吴越尚院</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30幢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由于吴越尚院市场交易不活跃，片区内可选案例较少，因此选择的案例B，C，D，距离在3公里以外。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吴越尚院住宅2024年4月挂牌均价19157元/平方米，较年初持平。待评估二手房住宅近11个月（2023年06月-2024年04月）挂牌均价波动幅度较小，价格维持在19157-20233元/平方米之间。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均价说明：吴越尚院小区物业类型包括：普通多层、电梯多层、小高层、高层,房源均价为:19157元/平方米，包含毛坯价值以及附带装修价值。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该房屋为6层住宅楼的第1层，建于2010年，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119.48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2076年10月24日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2024年04月26日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壹万叁仟玖佰柒拾肆元整</w:t>
      </w:r>
      <w:r>
        <w:rPr>
          <w:rFonts w:hint="eastAsia" w:ascii="宋体" w:hAnsi="宋体"/>
          <w:b/>
          <w:bCs/>
          <w:sz w:val="24"/>
        </w:rPr>
        <w:t xml:space="preserve">（RMB </w:t>
      </w:r>
      <w:r>
        <w:rPr>
          <w:rFonts w:ascii="宋体" w:hAnsi="宋体"/>
          <w:b/>
          <w:bCs/>
          <w:sz w:val="24"/>
        </w:rPr>
        <w:t xml:space="preserve">13974</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166.96</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13974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本次实地查勘期为2024年04月26日，并于当日完成现场查勘。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2024年04月26日</w:t>
      </w:r>
      <w:r>
        <w:rPr>
          <w:rFonts w:hint="eastAsia" w:ascii="宋体"/>
          <w:sz w:val="24"/>
        </w:rPr>
        <w:t xml:space="preserve">至2024年04月30日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吴越尚院</w:t>
      </w:r>
      <w:r>
        <w:rPr>
          <w:rFonts w:hint="eastAsia" w:hAnsi="宋体"/>
          <w:sz w:val="24"/>
        </w:rPr>
        <w:t xml:space="preserve">”住宅区内的</w:t>
      </w:r>
      <w:r>
        <w:rPr>
          <w:rFonts w:hAnsi="宋体"/>
          <w:sz w:val="24"/>
        </w:rPr>
        <w:t xml:space="preserve">电梯多层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位于江兴西路北侧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江兴西路北侧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附近有731路等多条公交线路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锦怡超市(江兴路)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中国民生银行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江兴蔬菜批发市场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鲈乡幼儿园(越秀分园)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鲈乡实验小学(越秀校区)</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2076年10月24日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梅石路</w:t>
      </w:r>
      <w:r>
        <w:rPr>
          <w:rFonts w:hint="eastAsia" w:ascii="宋体" w:hAnsi="宋体"/>
          <w:sz w:val="24"/>
        </w:rPr>
        <w:t xml:space="preserve">，南至</w:t>
      </w:r>
      <w:r>
        <w:rPr>
          <w:rFonts w:ascii="宋体" w:hAnsi="宋体"/>
          <w:sz w:val="24"/>
        </w:rPr>
        <w:t xml:space="preserve">江兴西路</w:t>
      </w:r>
      <w:r>
        <w:rPr>
          <w:rFonts w:hint="eastAsia" w:ascii="宋体" w:hAnsi="宋体"/>
          <w:sz w:val="24"/>
        </w:rPr>
        <w:t xml:space="preserve">，西至</w:t>
      </w:r>
      <w:r>
        <w:rPr>
          <w:rFonts w:ascii="宋体" w:hAnsi="宋体"/>
          <w:sz w:val="24"/>
        </w:rPr>
        <w:t xml:space="preserve">河道</w:t>
      </w:r>
      <w:r>
        <w:rPr>
          <w:rFonts w:hint="eastAsia" w:ascii="宋体" w:hAnsi="宋体"/>
          <w:sz w:val="24"/>
        </w:rPr>
        <w:t xml:space="preserve">，北至</w:t>
      </w:r>
      <w:r>
        <w:rPr>
          <w:rFonts w:ascii="宋体" w:hAnsi="宋体"/>
          <w:sz w:val="24"/>
        </w:rPr>
        <w:t xml:space="preserve">河道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估价对象为坐落于苏州市吴江区吴越尚院</w:t>
      </w:r>
      <w:r>
        <w:t xml:space="preserve"> </w:t>
      </w:r>
      <w:r>
        <w:rPr>
          <w:rFonts w:ascii="宋体" w:hAnsi="宋体"/>
          <w:kern w:val="2"/>
          <w:sz w:val="24"/>
        </w:rPr>
        <w:t xml:space="preserve">30幢102室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电梯多层</w:t>
      </w:r>
      <w:r>
        <w:rPr>
          <w:rFonts w:hint="eastAsia" w:hAnsi="宋体"/>
          <w:sz w:val="24"/>
        </w:rPr>
        <w:t xml:space="preserve">建筑，建筑面积为</w:t>
      </w:r>
      <w:r>
        <w:rPr>
          <w:rFonts w:hAnsi="宋体"/>
          <w:sz w:val="24"/>
        </w:rPr>
        <w:t xml:space="preserve">119.48</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6</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2010</w:t>
      </w:r>
      <w:r>
        <w:rPr>
          <w:rFonts w:hint="eastAsia" w:hAnsi="宋体"/>
          <w:sz w:val="24"/>
        </w:rPr>
        <w:t xml:space="preserve">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吴越尚院住宅2024年4月挂牌均价19157元/平方米，较年初持平。待评估二手房住宅近11个月（2023年06月-2024年04月）挂牌均价波动幅度较小，价格维持在19157-20233元/平方米之间。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苏州市吴江区吴越尚院</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F32050920230002822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F32050920220017830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s202307170027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s202307270012</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吴江区吴江经济开发区吴越尚院30幢102室电梯多层住宅标准房基准价格评估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吴越岭秀15幢505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璀璨四季花园22幢104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廊桥水岸观邸12幢509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廊桥水岸观邸12幢308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119.48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139.04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136.49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107.13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68.05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一等（5）</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一等（12）</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2024年04月26日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2023年06月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14384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17177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14935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17928</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2024年03月26日</w:t>
            </w:r>
          </w:p>
        </w:tc>
        <w:tc>
          <w:tcPr>
            <w:tcW w:w="778" w:type="pct"/>
            <w:shd w:val="clear" w:color="auto" w:fill="FFFFFF"/>
            <w:vAlign w:val="center"/>
          </w:tcPr>
          <w:p>
            <w:pPr>
              <w:jc w:val="center"/>
              <w:rPr/>
            </w:pPr>
            <w:r>
              <w:rPr>
                <w:rFonts w:hint="eastAsia" w:ascii="宋体" w:hAnsi="宋体" w:cs="宋体"/>
              </w:rPr>
              <w:t xml:space="preserve">2023年08月</w:t>
            </w:r>
          </w:p>
        </w:tc>
        <w:tc>
          <w:tcPr>
            <w:tcW w:w="779" w:type="pct"/>
            <w:shd w:val="clear" w:color="auto" w:fill="FFFFFF"/>
            <w:vAlign w:val="center"/>
          </w:tcPr>
          <w:p>
            <w:pPr>
              <w:jc w:val="center"/>
              <w:rPr/>
            </w:pPr>
            <w:r>
              <w:rPr>
                <w:rFonts w:hint="eastAsia" w:ascii="宋体" w:hAnsi="宋体" w:cs="宋体"/>
              </w:rPr>
              <w:t xml:space="preserve">2023年06月</w:t>
            </w:r>
          </w:p>
        </w:tc>
        <w:tc>
          <w:tcPr>
            <w:tcW w:w="779" w:type="pct"/>
            <w:shd w:val="clear" w:color="auto" w:fill="FFFFFF"/>
            <w:vAlign w:val="center"/>
          </w:tcPr>
          <w:p>
            <w:pPr>
              <w:jc w:val="center"/>
              <w:rPr/>
            </w:pPr>
            <w:r>
              <w:rPr>
                <w:rFonts w:hint="eastAsia" w:ascii="宋体" w:hAnsi="宋体" w:cs="宋体"/>
              </w:rPr>
              <w:t xml:space="preserve">2023年08月</w:t>
            </w:r>
          </w:p>
        </w:tc>
        <w:tc>
          <w:tcPr>
            <w:tcW w:w="779" w:type="pct"/>
            <w:shd w:val="clear" w:color="auto" w:fill="FFFFFF"/>
            <w:vAlign w:val="center"/>
          </w:tcPr>
          <w:p>
            <w:pPr>
              <w:jc w:val="center"/>
              <w:rPr/>
            </w:pPr>
            <w:r>
              <w:rPr>
                <w:rFonts w:hint="eastAsia" w:ascii="宋体" w:hAnsi="宋体" w:cs="宋体"/>
              </w:rPr>
              <w:t xml:space="preserve">2023年08月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14384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17177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14935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17928</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2072</w:t>
            </w:r>
          </w:p>
        </w:tc>
        <w:tc>
          <w:tcPr>
            <w:tcW w:w="779" w:type="pct"/>
            <w:shd w:val="clear" w:color="auto" w:fill="FFFFFF"/>
            <w:vAlign w:val="center"/>
          </w:tcPr>
          <w:p>
            <w:pPr>
              <w:jc w:val="center"/>
              <w:rPr/>
            </w:pPr>
            <w:r>
              <w:rPr>
                <w:rFonts w:hint="eastAsia" w:ascii="宋体" w:hAnsi="宋体" w:cs="宋体"/>
              </w:rPr>
              <w:t xml:space="preserve">2055</w:t>
            </w:r>
          </w:p>
        </w:tc>
        <w:tc>
          <w:tcPr>
            <w:tcW w:w="779" w:type="pct"/>
            <w:shd w:val="clear" w:color="auto" w:fill="FFFFFF"/>
            <w:vAlign w:val="center"/>
          </w:tcPr>
          <w:p>
            <w:pPr>
              <w:jc w:val="center"/>
              <w:rPr/>
            </w:pPr>
            <w:r>
              <w:rPr>
                <w:rFonts w:hint="eastAsia" w:ascii="宋体" w:hAnsi="宋体" w:cs="宋体"/>
              </w:rPr>
              <w:t xml:space="preserve">2072</w:t>
            </w:r>
          </w:p>
        </w:tc>
        <w:tc>
          <w:tcPr>
            <w:tcW w:w="779" w:type="pct"/>
            <w:shd w:val="clear" w:color="auto" w:fill="FFFFFF"/>
            <w:vAlign w:val="center"/>
          </w:tcPr>
          <w:p>
            <w:pPr>
              <w:jc w:val="center"/>
              <w:rPr/>
            </w:pPr>
            <w:r>
              <w:rPr>
                <w:rFonts w:hint="eastAsia" w:ascii="宋体" w:hAnsi="宋体" w:cs="宋体"/>
              </w:rPr>
              <w:t xml:space="preserve">2072</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1971/2055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1971/2072</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0.951</w:t>
            </w:r>
          </w:p>
        </w:tc>
        <w:tc>
          <w:tcPr>
            <w:tcW w:w="779" w:type="pct"/>
            <w:shd w:val="clear" w:color="auto" w:fill="FFFFFF"/>
            <w:vAlign w:val="center"/>
          </w:tcPr>
          <w:p>
            <w:pPr>
              <w:jc w:val="center"/>
              <w:rPr/>
            </w:pPr>
            <w:r>
              <w:rPr>
                <w:rFonts w:hint="eastAsia" w:ascii="宋体" w:hAnsi="宋体" w:cs="宋体"/>
              </w:rPr>
              <w:t xml:space="preserve">0.959</w:t>
            </w:r>
          </w:p>
        </w:tc>
        <w:tc>
          <w:tcPr>
            <w:tcW w:w="779" w:type="pct"/>
            <w:shd w:val="clear" w:color="auto" w:fill="FFFFFF"/>
            <w:vAlign w:val="center"/>
          </w:tcPr>
          <w:p>
            <w:pPr>
              <w:jc w:val="center"/>
              <w:rPr/>
            </w:pPr>
            <w:r>
              <w:rPr>
                <w:rFonts w:hint="eastAsia" w:ascii="宋体" w:hAnsi="宋体" w:cs="宋体"/>
              </w:rPr>
              <w:t xml:space="preserve">0.951</w:t>
            </w:r>
          </w:p>
        </w:tc>
        <w:tc>
          <w:tcPr>
            <w:tcW w:w="779" w:type="pct"/>
            <w:shd w:val="clear" w:color="auto" w:fill="FFFFFF"/>
            <w:vAlign w:val="center"/>
          </w:tcPr>
          <w:p>
            <w:pPr>
              <w:jc w:val="center"/>
              <w:rPr/>
            </w:pPr>
            <w:r>
              <w:rPr>
                <w:rFonts w:hint="eastAsia" w:ascii="宋体" w:hAnsi="宋体" w:cs="宋体"/>
              </w:rPr>
              <w:t xml:space="preserve">0.959</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备注：在价值时点2024年04月26日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249688014"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吴江区吴江经济开发区吴越尚院30幢102室电梯多层住宅标准房基准价格评估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吴越岭秀15幢505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璀璨四季花园22幢104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廊桥水岸观邸12幢509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廊桥水岸观邸12幢308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119.48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139.04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136.49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107.13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68.05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112.5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0.9178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0.9393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0.8933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0.8629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0.8758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0.8411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17177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14935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17928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13080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15079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14384</w:t>
            </w:r>
          </w:p>
        </w:tc>
        <w:tc>
          <w:tcPr>
            <w:tcW w:w="922" w:type="pct"/>
            <w:shd w:val="clear" w:color="auto" w:fill="auto"/>
            <w:vAlign w:val="center"/>
          </w:tcPr>
          <w:p>
            <w:pPr>
              <w:jc w:val="center"/>
              <w:rPr>
                <w:rFonts w:ascii="宋体" w:hAnsi="宋体" w:cs="宋体"/>
              </w:rPr>
            </w:pPr>
            <w:r>
              <w:rPr>
                <w:rFonts w:hint="eastAsia" w:ascii="宋体" w:hAnsi="宋体" w:cs="宋体"/>
              </w:rPr>
              <w:t xml:space="preserve">17177</w:t>
            </w:r>
          </w:p>
        </w:tc>
        <w:tc>
          <w:tcPr>
            <w:tcW w:w="922" w:type="pct"/>
            <w:shd w:val="clear" w:color="auto" w:fill="auto"/>
            <w:vAlign w:val="center"/>
          </w:tcPr>
          <w:p>
            <w:pPr>
              <w:jc w:val="center"/>
              <w:rPr>
                <w:rFonts w:ascii="宋体" w:hAnsi="宋体" w:cs="宋体"/>
              </w:rPr>
            </w:pPr>
            <w:r>
              <w:rPr>
                <w:rFonts w:hint="eastAsia" w:ascii="宋体" w:hAnsi="宋体" w:cs="宋体"/>
              </w:rPr>
              <w:t xml:space="preserve">14935</w:t>
            </w:r>
          </w:p>
        </w:tc>
        <w:tc>
          <w:tcPr>
            <w:tcW w:w="922" w:type="pct"/>
            <w:shd w:val="clear" w:color="auto" w:fill="auto"/>
            <w:vAlign w:val="center"/>
          </w:tcPr>
          <w:p>
            <w:pPr>
              <w:jc w:val="center"/>
              <w:rPr>
                <w:rFonts w:ascii="宋体" w:hAnsi="宋体" w:cs="宋体"/>
              </w:rPr>
            </w:pPr>
            <w:r>
              <w:rPr>
                <w:rFonts w:hint="eastAsia" w:ascii="宋体" w:hAnsi="宋体" w:cs="宋体"/>
              </w:rPr>
              <w:t xml:space="preserve">17928</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0.959</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100.5/107</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100.5/112.5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0.9186</w:t>
            </w:r>
          </w:p>
        </w:tc>
        <w:tc>
          <w:tcPr>
            <w:tcW w:w="922" w:type="pct"/>
            <w:shd w:val="clear" w:color="auto" w:fill="auto"/>
            <w:vAlign w:val="center"/>
          </w:tcPr>
          <w:p>
            <w:pPr>
              <w:jc w:val="center"/>
              <w:rPr>
                <w:rFonts w:ascii="宋体" w:hAnsi="宋体" w:cs="宋体"/>
              </w:rPr>
            </w:pPr>
            <w:r>
              <w:rPr>
                <w:rFonts w:hint="eastAsia" w:ascii="宋体" w:hAnsi="宋体" w:cs="宋体"/>
              </w:rPr>
              <w:t xml:space="preserve">0.8629</w:t>
            </w:r>
          </w:p>
        </w:tc>
        <w:tc>
          <w:tcPr>
            <w:tcW w:w="922" w:type="pct"/>
            <w:shd w:val="clear" w:color="auto" w:fill="auto"/>
            <w:vAlign w:val="center"/>
          </w:tcPr>
          <w:p>
            <w:pPr>
              <w:jc w:val="center"/>
              <w:rPr>
                <w:rFonts w:ascii="宋体" w:hAnsi="宋体" w:cs="宋体"/>
              </w:rPr>
            </w:pPr>
            <w:r>
              <w:rPr>
                <w:rFonts w:hint="eastAsia" w:ascii="宋体" w:hAnsi="宋体" w:cs="宋体"/>
              </w:rPr>
              <w:t xml:space="preserve">0.8758</w:t>
            </w:r>
          </w:p>
        </w:tc>
        <w:tc>
          <w:tcPr>
            <w:tcW w:w="922" w:type="pct"/>
            <w:shd w:val="clear" w:color="auto" w:fill="auto"/>
            <w:vAlign w:val="center"/>
          </w:tcPr>
          <w:p>
            <w:pPr>
              <w:jc w:val="center"/>
              <w:rPr>
                <w:rFonts w:ascii="宋体" w:hAnsi="宋体" w:cs="宋体"/>
              </w:rPr>
            </w:pPr>
            <w:r>
              <w:rPr>
                <w:rFonts w:hint="eastAsia" w:ascii="宋体" w:hAnsi="宋体" w:cs="宋体"/>
              </w:rPr>
              <w:t xml:space="preserve">0.8411</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13213</w:t>
            </w:r>
          </w:p>
        </w:tc>
        <w:tc>
          <w:tcPr>
            <w:tcW w:w="922" w:type="pct"/>
            <w:shd w:val="clear" w:color="auto" w:fill="auto"/>
            <w:vAlign w:val="center"/>
          </w:tcPr>
          <w:p>
            <w:pPr>
              <w:jc w:val="center"/>
              <w:rPr>
                <w:rFonts w:ascii="宋体" w:hAnsi="宋体" w:cs="宋体"/>
              </w:rPr>
            </w:pPr>
            <w:r>
              <w:rPr>
                <w:rFonts w:hint="eastAsia" w:ascii="宋体" w:hAnsi="宋体" w:cs="宋体"/>
              </w:rPr>
              <w:t xml:space="preserve">14822</w:t>
            </w:r>
          </w:p>
        </w:tc>
        <w:tc>
          <w:tcPr>
            <w:tcW w:w="922" w:type="pct"/>
            <w:shd w:val="clear" w:color="auto" w:fill="auto"/>
            <w:vAlign w:val="center"/>
          </w:tcPr>
          <w:p>
            <w:pPr>
              <w:jc w:val="center"/>
              <w:rPr>
                <w:rFonts w:ascii="宋体" w:hAnsi="宋体" w:cs="宋体"/>
              </w:rPr>
            </w:pPr>
            <w:r>
              <w:rPr>
                <w:rFonts w:hint="eastAsia" w:ascii="宋体" w:hAnsi="宋体" w:cs="宋体"/>
              </w:rPr>
              <w:t xml:space="preserve">13080</w:t>
            </w:r>
          </w:p>
        </w:tc>
        <w:tc>
          <w:tcPr>
            <w:tcW w:w="922" w:type="pct"/>
            <w:shd w:val="clear" w:color="auto" w:fill="auto"/>
            <w:vAlign w:val="center"/>
          </w:tcPr>
          <w:p>
            <w:pPr>
              <w:jc w:val="center"/>
              <w:rPr>
                <w:rFonts w:ascii="宋体" w:hAnsi="宋体" w:cs="宋体"/>
              </w:rPr>
            </w:pPr>
            <w:r>
              <w:rPr>
                <w:rFonts w:hint="eastAsia" w:ascii="宋体" w:hAnsi="宋体" w:cs="宋体"/>
              </w:rPr>
              <w:t xml:space="preserve">15079</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13213</w:t>
            </w:r>
          </w:p>
        </w:tc>
        <w:tc>
          <w:tcPr>
            <w:tcW w:w="922" w:type="pct"/>
            <w:shd w:val="clear" w:color="auto" w:fill="auto"/>
            <w:vAlign w:val="center"/>
          </w:tcPr>
          <w:p>
            <w:pPr>
              <w:jc w:val="center"/>
              <w:rPr>
                <w:rFonts w:ascii="宋体" w:hAnsi="宋体" w:cs="宋体"/>
              </w:rPr>
            </w:pPr>
            <w:r>
              <w:rPr>
                <w:rFonts w:hint="eastAsia" w:ascii="宋体" w:hAnsi="宋体" w:cs="宋体"/>
              </w:rPr>
              <w:t xml:space="preserve">14522</w:t>
            </w:r>
          </w:p>
        </w:tc>
        <w:tc>
          <w:tcPr>
            <w:tcW w:w="922" w:type="pct"/>
            <w:shd w:val="clear" w:color="auto" w:fill="auto"/>
            <w:vAlign w:val="center"/>
          </w:tcPr>
          <w:p>
            <w:pPr>
              <w:jc w:val="center"/>
              <w:rPr>
                <w:rFonts w:ascii="宋体" w:hAnsi="宋体" w:cs="宋体"/>
              </w:rPr>
            </w:pPr>
            <w:r>
              <w:rPr>
                <w:rFonts w:hint="eastAsia" w:ascii="宋体" w:hAnsi="宋体" w:cs="宋体"/>
              </w:rPr>
              <w:t xml:space="preserve">13080</w:t>
            </w:r>
          </w:p>
        </w:tc>
        <w:tc>
          <w:tcPr>
            <w:tcW w:w="922" w:type="pct"/>
            <w:shd w:val="clear" w:color="auto" w:fill="auto"/>
            <w:vAlign w:val="center"/>
          </w:tcPr>
          <w:p>
            <w:pPr>
              <w:jc w:val="center"/>
              <w:rPr>
                <w:rFonts w:ascii="宋体" w:hAnsi="宋体" w:cs="宋体"/>
              </w:rPr>
            </w:pPr>
            <w:r>
              <w:rPr>
                <w:rFonts w:hint="eastAsia" w:ascii="宋体" w:hAnsi="宋体" w:cs="宋体"/>
              </w:rPr>
              <w:t xml:space="preserve">15079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13974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F32050920230002822</w:t>
            </w:r>
          </w:p>
        </w:tc>
        <w:tc>
          <w:tcPr>
            <w:tcW w:w="1842" w:type="dxa"/>
            <w:vAlign w:val="center"/>
          </w:tcPr>
          <w:p>
            <w:pPr>
              <w:jc w:val="center"/>
              <w:rPr/>
            </w:pPr>
            <w:r>
              <w:rPr>
                <w:rFonts w:hint="eastAsia" w:ascii="宋体" w:hAnsi="宋体" w:cs="宋体"/>
              </w:rPr>
              <w:t xml:space="preserve">F32050920220017830</w:t>
            </w:r>
          </w:p>
        </w:tc>
        <w:tc>
          <w:tcPr>
            <w:tcW w:w="1843" w:type="dxa"/>
            <w:vAlign w:val="center"/>
          </w:tcPr>
          <w:p>
            <w:pPr>
              <w:jc w:val="center"/>
              <w:rPr/>
            </w:pPr>
            <w:r>
              <w:rPr>
                <w:rFonts w:hint="eastAsia" w:ascii="宋体" w:hAnsi="宋体" w:cs="宋体"/>
              </w:rPr>
              <w:t xml:space="preserve">s202307170027</w:t>
            </w:r>
          </w:p>
        </w:tc>
        <w:tc>
          <w:tcPr>
            <w:tcW w:w="1985" w:type="dxa"/>
            <w:vAlign w:val="center"/>
          </w:tcPr>
          <w:p>
            <w:pPr>
              <w:jc w:val="center"/>
              <w:rPr/>
            </w:pPr>
            <w:r>
              <w:rPr>
                <w:rFonts w:hint="eastAsia" w:ascii="宋体" w:hAnsi="宋体" w:cs="宋体"/>
              </w:rPr>
              <w:t xml:space="preserve">s202307270012</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吴越岭秀15幢505</w:t>
            </w:r>
          </w:p>
        </w:tc>
        <w:tc>
          <w:tcPr>
            <w:tcW w:w="1842" w:type="dxa"/>
            <w:vAlign w:val="center"/>
          </w:tcPr>
          <w:p>
            <w:pPr>
              <w:jc w:val="center"/>
              <w:rPr/>
            </w:pPr>
            <w:r>
              <w:rPr>
                <w:rFonts w:hint="eastAsia" w:ascii="宋体" w:hAnsi="宋体" w:cs="宋体"/>
              </w:rPr>
              <w:t xml:space="preserve">璀璨四季花园22幢104</w:t>
            </w:r>
          </w:p>
        </w:tc>
        <w:tc>
          <w:tcPr>
            <w:tcW w:w="1843" w:type="dxa"/>
            <w:vAlign w:val="center"/>
          </w:tcPr>
          <w:p>
            <w:pPr>
              <w:jc w:val="center"/>
              <w:rPr/>
            </w:pPr>
            <w:r>
              <w:rPr>
                <w:rFonts w:hint="eastAsia" w:ascii="宋体" w:hAnsi="宋体" w:cs="宋体"/>
              </w:rPr>
              <w:t xml:space="preserve">廊桥水岸观邸12幢509</w:t>
            </w:r>
          </w:p>
        </w:tc>
        <w:tc>
          <w:tcPr>
            <w:tcW w:w="1985" w:type="dxa"/>
            <w:vAlign w:val="center"/>
          </w:tcPr>
          <w:p>
            <w:pPr>
              <w:jc w:val="center"/>
              <w:rPr/>
            </w:pPr>
            <w:r>
              <w:rPr>
                <w:rFonts w:hint="eastAsia" w:ascii="宋体" w:hAnsi="宋体" w:cs="宋体"/>
              </w:rPr>
              <w:t xml:space="preserve">廊桥水岸观邸12幢308</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吴越岭秀15幢505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璀璨四季花园22幢104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廊桥水岸观邸12幢509</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廊桥水岸观邸12幢308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pn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